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BF" w:rsidRDefault="002C48BF">
      <w:pPr>
        <w:rPr>
          <w:b/>
          <w:sz w:val="24"/>
          <w:szCs w:val="24"/>
          <w:lang w:val="en-029"/>
        </w:rPr>
      </w:pPr>
      <w:r>
        <w:rPr>
          <w:b/>
          <w:noProof/>
          <w:sz w:val="24"/>
          <w:szCs w:val="24"/>
        </w:rPr>
        <w:drawing>
          <wp:inline distT="0" distB="0" distL="0" distR="0">
            <wp:extent cx="7653623" cy="5448300"/>
            <wp:effectExtent l="19050" t="0" r="4477" b="0"/>
            <wp:docPr id="12" name="Picture 11" descr="haiti_mosa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ti_mosaic2.jpg"/>
                    <pic:cNvPicPr/>
                  </pic:nvPicPr>
                  <pic:blipFill>
                    <a:blip r:embed="rId15" cstate="screen"/>
                    <a:stretch>
                      <a:fillRect/>
                    </a:stretch>
                  </pic:blipFill>
                  <pic:spPr>
                    <a:xfrm>
                      <a:off x="0" y="0"/>
                      <a:ext cx="7657071" cy="5450754"/>
                    </a:xfrm>
                    <a:prstGeom prst="rect">
                      <a:avLst/>
                    </a:prstGeom>
                  </pic:spPr>
                </pic:pic>
              </a:graphicData>
            </a:graphic>
          </wp:inline>
        </w:drawing>
      </w:r>
      <w:r>
        <w:rPr>
          <w:b/>
          <w:sz w:val="24"/>
          <w:szCs w:val="24"/>
          <w:lang w:val="en-029"/>
        </w:rPr>
        <w:br w:type="page"/>
      </w:r>
    </w:p>
    <w:p w:rsidR="00764A97" w:rsidRPr="00917B65" w:rsidRDefault="00764A97" w:rsidP="00764A97">
      <w:pPr>
        <w:ind w:left="-360" w:right="-360"/>
        <w:jc w:val="center"/>
        <w:outlineLvl w:val="0"/>
        <w:rPr>
          <w:sz w:val="24"/>
          <w:szCs w:val="24"/>
          <w:lang w:val="en-029"/>
        </w:rPr>
      </w:pPr>
      <w:bookmarkStart w:id="0" w:name="_Toc295219016"/>
      <w:r w:rsidRPr="00917B65">
        <w:rPr>
          <w:b/>
          <w:sz w:val="24"/>
          <w:szCs w:val="24"/>
          <w:lang w:val="en-029"/>
        </w:rPr>
        <w:lastRenderedPageBreak/>
        <w:t xml:space="preserve">The </w:t>
      </w:r>
      <w:r w:rsidR="00F9702A">
        <w:rPr>
          <w:b/>
          <w:sz w:val="24"/>
          <w:szCs w:val="24"/>
          <w:lang w:val="en-029"/>
        </w:rPr>
        <w:t xml:space="preserve">Caribbean Challenge Initiative </w:t>
      </w:r>
      <w:r w:rsidRPr="00917B65">
        <w:rPr>
          <w:b/>
          <w:noProof/>
          <w:sz w:val="24"/>
          <w:szCs w:val="24"/>
          <w:lang w:val="en-029"/>
        </w:rPr>
        <w:t>Measures of Success</w:t>
      </w:r>
      <w:bookmarkEnd w:id="0"/>
    </w:p>
    <w:p w:rsidR="00764A97" w:rsidRPr="00917B65" w:rsidRDefault="00764A97" w:rsidP="00764A97">
      <w:pPr>
        <w:ind w:right="-360"/>
        <w:jc w:val="center"/>
        <w:rPr>
          <w:i/>
          <w:sz w:val="24"/>
          <w:szCs w:val="24"/>
          <w:lang w:val="en-029"/>
        </w:rPr>
      </w:pPr>
      <w:r w:rsidRPr="00917B65">
        <w:rPr>
          <w:i/>
          <w:sz w:val="24"/>
          <w:szCs w:val="24"/>
          <w:lang w:val="en-029"/>
        </w:rPr>
        <w:t xml:space="preserve">A Monitoring &amp; Adaptive Management Framework for </w:t>
      </w:r>
      <w:r w:rsidR="00FA6034" w:rsidRPr="00917B65">
        <w:rPr>
          <w:i/>
          <w:sz w:val="24"/>
          <w:szCs w:val="24"/>
          <w:lang w:val="en-029"/>
        </w:rPr>
        <w:t>Conservation Strategies in</w:t>
      </w:r>
      <w:r w:rsidR="001F5A8A">
        <w:rPr>
          <w:i/>
          <w:sz w:val="24"/>
          <w:szCs w:val="24"/>
          <w:lang w:val="en-029"/>
        </w:rPr>
        <w:t xml:space="preserve"> the Caribbean</w:t>
      </w:r>
    </w:p>
    <w:p w:rsidR="004C5C6A" w:rsidRDefault="004C5C6A" w:rsidP="004C5C6A">
      <w:pPr>
        <w:rPr>
          <w:lang w:val="en-029"/>
        </w:rPr>
      </w:pPr>
    </w:p>
    <w:sdt>
      <w:sdtPr>
        <w:rPr>
          <w:rFonts w:asciiTheme="minorHAnsi" w:eastAsiaTheme="minorHAnsi" w:hAnsiTheme="minorHAnsi" w:cstheme="minorBidi"/>
          <w:b w:val="0"/>
          <w:bCs w:val="0"/>
          <w:color w:val="auto"/>
          <w:sz w:val="22"/>
          <w:szCs w:val="22"/>
        </w:rPr>
        <w:id w:val="292504002"/>
        <w:docPartObj>
          <w:docPartGallery w:val="Table of Contents"/>
          <w:docPartUnique/>
        </w:docPartObj>
      </w:sdtPr>
      <w:sdtContent>
        <w:sdt>
          <w:sdtPr>
            <w:rPr>
              <w:rFonts w:asciiTheme="minorHAnsi" w:eastAsiaTheme="minorHAnsi" w:hAnsiTheme="minorHAnsi" w:cstheme="minorBidi"/>
              <w:b w:val="0"/>
              <w:bCs w:val="0"/>
              <w:color w:val="auto"/>
              <w:sz w:val="22"/>
              <w:szCs w:val="22"/>
            </w:rPr>
            <w:id w:val="268613360"/>
            <w:docPartObj>
              <w:docPartGallery w:val="Table of Contents"/>
              <w:docPartUnique/>
            </w:docPartObj>
          </w:sdtPr>
          <w:sdtContent>
            <w:sdt>
              <w:sdtPr>
                <w:rPr>
                  <w:rFonts w:asciiTheme="minorHAnsi" w:eastAsiaTheme="minorHAnsi" w:hAnsiTheme="minorHAnsi" w:cstheme="minorBidi"/>
                  <w:b w:val="0"/>
                  <w:bCs w:val="0"/>
                  <w:color w:val="auto"/>
                  <w:sz w:val="22"/>
                  <w:szCs w:val="22"/>
                </w:rPr>
                <w:id w:val="814855612"/>
                <w:docPartObj>
                  <w:docPartGallery w:val="Table of Contents"/>
                  <w:docPartUnique/>
                </w:docPartObj>
              </w:sdtPr>
              <w:sdtContent>
                <w:p w:rsidR="0009007D" w:rsidRDefault="0009007D">
                  <w:pPr>
                    <w:pStyle w:val="TOCHeading"/>
                  </w:pPr>
                  <w:r>
                    <w:t>Contents</w:t>
                  </w:r>
                </w:p>
                <w:p w:rsidR="009D10F0" w:rsidRDefault="00F91061">
                  <w:pPr>
                    <w:pStyle w:val="TOC1"/>
                    <w:tabs>
                      <w:tab w:val="right" w:leader="dot" w:pos="9350"/>
                    </w:tabs>
                    <w:rPr>
                      <w:rFonts w:eastAsiaTheme="minorEastAsia"/>
                      <w:noProof/>
                    </w:rPr>
                  </w:pPr>
                  <w:r>
                    <w:fldChar w:fldCharType="begin"/>
                  </w:r>
                  <w:r w:rsidR="0009007D">
                    <w:instrText xml:space="preserve"> TOC \o "1-3" \h \z \u </w:instrText>
                  </w:r>
                  <w:r>
                    <w:fldChar w:fldCharType="separate"/>
                  </w:r>
                  <w:hyperlink w:anchor="_Toc295219016" w:history="1">
                    <w:r w:rsidR="009D10F0" w:rsidRPr="00BE7DAA">
                      <w:rPr>
                        <w:rStyle w:val="Hyperlink"/>
                        <w:b/>
                        <w:noProof/>
                        <w:lang w:val="en-029"/>
                      </w:rPr>
                      <w:t>The Caribbean Challenge Initiative Measures of Success</w:t>
                    </w:r>
                    <w:r w:rsidR="009D10F0">
                      <w:rPr>
                        <w:noProof/>
                        <w:webHidden/>
                      </w:rPr>
                      <w:tab/>
                    </w:r>
                    <w:r w:rsidR="009D10F0">
                      <w:rPr>
                        <w:noProof/>
                        <w:webHidden/>
                      </w:rPr>
                      <w:fldChar w:fldCharType="begin"/>
                    </w:r>
                    <w:r w:rsidR="009D10F0">
                      <w:rPr>
                        <w:noProof/>
                        <w:webHidden/>
                      </w:rPr>
                      <w:instrText xml:space="preserve"> PAGEREF _Toc295219016 \h </w:instrText>
                    </w:r>
                    <w:r w:rsidR="009D10F0">
                      <w:rPr>
                        <w:noProof/>
                        <w:webHidden/>
                      </w:rPr>
                    </w:r>
                    <w:r w:rsidR="009D10F0">
                      <w:rPr>
                        <w:noProof/>
                        <w:webHidden/>
                      </w:rPr>
                      <w:fldChar w:fldCharType="separate"/>
                    </w:r>
                    <w:r w:rsidR="009D10F0">
                      <w:rPr>
                        <w:noProof/>
                        <w:webHidden/>
                      </w:rPr>
                      <w:t>2</w:t>
                    </w:r>
                    <w:r w:rsidR="009D10F0">
                      <w:rPr>
                        <w:noProof/>
                        <w:webHidden/>
                      </w:rPr>
                      <w:fldChar w:fldCharType="end"/>
                    </w:r>
                  </w:hyperlink>
                </w:p>
                <w:p w:rsidR="009D10F0" w:rsidRDefault="009D10F0">
                  <w:pPr>
                    <w:pStyle w:val="TOC1"/>
                    <w:tabs>
                      <w:tab w:val="right" w:leader="dot" w:pos="9350"/>
                    </w:tabs>
                    <w:rPr>
                      <w:rFonts w:eastAsiaTheme="minorEastAsia"/>
                      <w:noProof/>
                    </w:rPr>
                  </w:pPr>
                  <w:hyperlink w:anchor="_Toc295219017" w:history="1">
                    <w:r w:rsidRPr="00BE7DAA">
                      <w:rPr>
                        <w:rStyle w:val="Hyperlink"/>
                        <w:noProof/>
                        <w:lang w:val="en-029"/>
                      </w:rPr>
                      <w:t>INTRODUCTION</w:t>
                    </w:r>
                    <w:r>
                      <w:rPr>
                        <w:noProof/>
                        <w:webHidden/>
                      </w:rPr>
                      <w:tab/>
                    </w:r>
                    <w:r>
                      <w:rPr>
                        <w:noProof/>
                        <w:webHidden/>
                      </w:rPr>
                      <w:fldChar w:fldCharType="begin"/>
                    </w:r>
                    <w:r>
                      <w:rPr>
                        <w:noProof/>
                        <w:webHidden/>
                      </w:rPr>
                      <w:instrText xml:space="preserve"> PAGEREF _Toc295219017 \h </w:instrText>
                    </w:r>
                    <w:r>
                      <w:rPr>
                        <w:noProof/>
                        <w:webHidden/>
                      </w:rPr>
                    </w:r>
                    <w:r>
                      <w:rPr>
                        <w:noProof/>
                        <w:webHidden/>
                      </w:rPr>
                      <w:fldChar w:fldCharType="separate"/>
                    </w:r>
                    <w:r>
                      <w:rPr>
                        <w:noProof/>
                        <w:webHidden/>
                      </w:rPr>
                      <w:t>3</w:t>
                    </w:r>
                    <w:r>
                      <w:rPr>
                        <w:noProof/>
                        <w:webHidden/>
                      </w:rPr>
                      <w:fldChar w:fldCharType="end"/>
                    </w:r>
                  </w:hyperlink>
                </w:p>
                <w:p w:rsidR="009D10F0" w:rsidRDefault="009D10F0">
                  <w:pPr>
                    <w:pStyle w:val="TOC2"/>
                    <w:tabs>
                      <w:tab w:val="right" w:leader="dot" w:pos="9350"/>
                    </w:tabs>
                    <w:rPr>
                      <w:rFonts w:eastAsiaTheme="minorEastAsia"/>
                      <w:noProof/>
                    </w:rPr>
                  </w:pPr>
                  <w:hyperlink w:anchor="_Toc295219018" w:history="1">
                    <w:r w:rsidRPr="00BE7DAA">
                      <w:rPr>
                        <w:rStyle w:val="Hyperlink"/>
                        <w:noProof/>
                        <w:lang w:val="en-029"/>
                      </w:rPr>
                      <w:t>The Caribbean Region</w:t>
                    </w:r>
                    <w:r>
                      <w:rPr>
                        <w:noProof/>
                        <w:webHidden/>
                      </w:rPr>
                      <w:tab/>
                    </w:r>
                    <w:r>
                      <w:rPr>
                        <w:noProof/>
                        <w:webHidden/>
                      </w:rPr>
                      <w:fldChar w:fldCharType="begin"/>
                    </w:r>
                    <w:r>
                      <w:rPr>
                        <w:noProof/>
                        <w:webHidden/>
                      </w:rPr>
                      <w:instrText xml:space="preserve"> PAGEREF _Toc295219018 \h </w:instrText>
                    </w:r>
                    <w:r>
                      <w:rPr>
                        <w:noProof/>
                        <w:webHidden/>
                      </w:rPr>
                    </w:r>
                    <w:r>
                      <w:rPr>
                        <w:noProof/>
                        <w:webHidden/>
                      </w:rPr>
                      <w:fldChar w:fldCharType="separate"/>
                    </w:r>
                    <w:r>
                      <w:rPr>
                        <w:noProof/>
                        <w:webHidden/>
                      </w:rPr>
                      <w:t>3</w:t>
                    </w:r>
                    <w:r>
                      <w:rPr>
                        <w:noProof/>
                        <w:webHidden/>
                      </w:rPr>
                      <w:fldChar w:fldCharType="end"/>
                    </w:r>
                  </w:hyperlink>
                </w:p>
                <w:p w:rsidR="009D10F0" w:rsidRDefault="009D10F0">
                  <w:pPr>
                    <w:pStyle w:val="TOC2"/>
                    <w:tabs>
                      <w:tab w:val="right" w:leader="dot" w:pos="9350"/>
                    </w:tabs>
                    <w:rPr>
                      <w:rFonts w:eastAsiaTheme="minorEastAsia"/>
                      <w:noProof/>
                    </w:rPr>
                  </w:pPr>
                  <w:hyperlink w:anchor="_Toc295219019" w:history="1">
                    <w:r w:rsidRPr="00BE7DAA">
                      <w:rPr>
                        <w:rStyle w:val="Hyperlink"/>
                        <w:noProof/>
                        <w:lang w:val="en-029"/>
                      </w:rPr>
                      <w:t>Caribbean Challenge Initiative (CCI) Overview and Strategies</w:t>
                    </w:r>
                    <w:r>
                      <w:rPr>
                        <w:noProof/>
                        <w:webHidden/>
                      </w:rPr>
                      <w:tab/>
                    </w:r>
                    <w:r>
                      <w:rPr>
                        <w:noProof/>
                        <w:webHidden/>
                      </w:rPr>
                      <w:fldChar w:fldCharType="begin"/>
                    </w:r>
                    <w:r>
                      <w:rPr>
                        <w:noProof/>
                        <w:webHidden/>
                      </w:rPr>
                      <w:instrText xml:space="preserve"> PAGEREF _Toc295219019 \h </w:instrText>
                    </w:r>
                    <w:r>
                      <w:rPr>
                        <w:noProof/>
                        <w:webHidden/>
                      </w:rPr>
                    </w:r>
                    <w:r>
                      <w:rPr>
                        <w:noProof/>
                        <w:webHidden/>
                      </w:rPr>
                      <w:fldChar w:fldCharType="separate"/>
                    </w:r>
                    <w:r>
                      <w:rPr>
                        <w:noProof/>
                        <w:webHidden/>
                      </w:rPr>
                      <w:t>5</w:t>
                    </w:r>
                    <w:r>
                      <w:rPr>
                        <w:noProof/>
                        <w:webHidden/>
                      </w:rPr>
                      <w:fldChar w:fldCharType="end"/>
                    </w:r>
                  </w:hyperlink>
                </w:p>
                <w:p w:rsidR="009D10F0" w:rsidRDefault="009D10F0">
                  <w:pPr>
                    <w:pStyle w:val="TOC2"/>
                    <w:tabs>
                      <w:tab w:val="right" w:leader="dot" w:pos="9350"/>
                    </w:tabs>
                    <w:rPr>
                      <w:rFonts w:eastAsiaTheme="minorEastAsia"/>
                      <w:noProof/>
                    </w:rPr>
                  </w:pPr>
                  <w:hyperlink w:anchor="_Toc295219020" w:history="1">
                    <w:r w:rsidRPr="00BE7DAA">
                      <w:rPr>
                        <w:rStyle w:val="Hyperlink"/>
                        <w:noProof/>
                        <w:lang w:val="en-029"/>
                      </w:rPr>
                      <w:t>Rationale for CCI Measures</w:t>
                    </w:r>
                    <w:r>
                      <w:rPr>
                        <w:noProof/>
                        <w:webHidden/>
                      </w:rPr>
                      <w:tab/>
                    </w:r>
                    <w:r>
                      <w:rPr>
                        <w:noProof/>
                        <w:webHidden/>
                      </w:rPr>
                      <w:fldChar w:fldCharType="begin"/>
                    </w:r>
                    <w:r>
                      <w:rPr>
                        <w:noProof/>
                        <w:webHidden/>
                      </w:rPr>
                      <w:instrText xml:space="preserve"> PAGEREF _Toc295219020 \h </w:instrText>
                    </w:r>
                    <w:r>
                      <w:rPr>
                        <w:noProof/>
                        <w:webHidden/>
                      </w:rPr>
                    </w:r>
                    <w:r>
                      <w:rPr>
                        <w:noProof/>
                        <w:webHidden/>
                      </w:rPr>
                      <w:fldChar w:fldCharType="separate"/>
                    </w:r>
                    <w:r>
                      <w:rPr>
                        <w:noProof/>
                        <w:webHidden/>
                      </w:rPr>
                      <w:t>6</w:t>
                    </w:r>
                    <w:r>
                      <w:rPr>
                        <w:noProof/>
                        <w:webHidden/>
                      </w:rPr>
                      <w:fldChar w:fldCharType="end"/>
                    </w:r>
                  </w:hyperlink>
                </w:p>
                <w:p w:rsidR="009D10F0" w:rsidRDefault="009D10F0">
                  <w:pPr>
                    <w:pStyle w:val="TOC2"/>
                    <w:tabs>
                      <w:tab w:val="right" w:leader="dot" w:pos="9350"/>
                    </w:tabs>
                    <w:rPr>
                      <w:rFonts w:eastAsiaTheme="minorEastAsia"/>
                      <w:noProof/>
                    </w:rPr>
                  </w:pPr>
                  <w:hyperlink w:anchor="_Toc295219021" w:history="1">
                    <w:r w:rsidRPr="00BE7DAA">
                      <w:rPr>
                        <w:rStyle w:val="Hyperlink"/>
                        <w:noProof/>
                        <w:lang w:val="en-029"/>
                      </w:rPr>
                      <w:t>Objectives and Timeline of Measures Development</w:t>
                    </w:r>
                    <w:r>
                      <w:rPr>
                        <w:noProof/>
                        <w:webHidden/>
                      </w:rPr>
                      <w:tab/>
                    </w:r>
                    <w:r>
                      <w:rPr>
                        <w:noProof/>
                        <w:webHidden/>
                      </w:rPr>
                      <w:fldChar w:fldCharType="begin"/>
                    </w:r>
                    <w:r>
                      <w:rPr>
                        <w:noProof/>
                        <w:webHidden/>
                      </w:rPr>
                      <w:instrText xml:space="preserve"> PAGEREF _Toc295219021 \h </w:instrText>
                    </w:r>
                    <w:r>
                      <w:rPr>
                        <w:noProof/>
                        <w:webHidden/>
                      </w:rPr>
                    </w:r>
                    <w:r>
                      <w:rPr>
                        <w:noProof/>
                        <w:webHidden/>
                      </w:rPr>
                      <w:fldChar w:fldCharType="separate"/>
                    </w:r>
                    <w:r>
                      <w:rPr>
                        <w:noProof/>
                        <w:webHidden/>
                      </w:rPr>
                      <w:t>6</w:t>
                    </w:r>
                    <w:r>
                      <w:rPr>
                        <w:noProof/>
                        <w:webHidden/>
                      </w:rPr>
                      <w:fldChar w:fldCharType="end"/>
                    </w:r>
                  </w:hyperlink>
                </w:p>
                <w:p w:rsidR="009D10F0" w:rsidRDefault="009D10F0">
                  <w:pPr>
                    <w:pStyle w:val="TOC3"/>
                    <w:tabs>
                      <w:tab w:val="right" w:leader="dot" w:pos="9350"/>
                    </w:tabs>
                    <w:rPr>
                      <w:rFonts w:eastAsiaTheme="minorEastAsia"/>
                      <w:noProof/>
                    </w:rPr>
                  </w:pPr>
                  <w:hyperlink w:anchor="_Toc295219022" w:history="1">
                    <w:r w:rsidRPr="00BE7DAA">
                      <w:rPr>
                        <w:rStyle w:val="Hyperlink"/>
                        <w:noProof/>
                      </w:rPr>
                      <w:t>Phase 1: January to June 2011</w:t>
                    </w:r>
                    <w:r>
                      <w:rPr>
                        <w:noProof/>
                        <w:webHidden/>
                      </w:rPr>
                      <w:tab/>
                    </w:r>
                    <w:r>
                      <w:rPr>
                        <w:noProof/>
                        <w:webHidden/>
                      </w:rPr>
                      <w:fldChar w:fldCharType="begin"/>
                    </w:r>
                    <w:r>
                      <w:rPr>
                        <w:noProof/>
                        <w:webHidden/>
                      </w:rPr>
                      <w:instrText xml:space="preserve"> PAGEREF _Toc295219022 \h </w:instrText>
                    </w:r>
                    <w:r>
                      <w:rPr>
                        <w:noProof/>
                        <w:webHidden/>
                      </w:rPr>
                    </w:r>
                    <w:r>
                      <w:rPr>
                        <w:noProof/>
                        <w:webHidden/>
                      </w:rPr>
                      <w:fldChar w:fldCharType="separate"/>
                    </w:r>
                    <w:r>
                      <w:rPr>
                        <w:noProof/>
                        <w:webHidden/>
                      </w:rPr>
                      <w:t>7</w:t>
                    </w:r>
                    <w:r>
                      <w:rPr>
                        <w:noProof/>
                        <w:webHidden/>
                      </w:rPr>
                      <w:fldChar w:fldCharType="end"/>
                    </w:r>
                  </w:hyperlink>
                </w:p>
                <w:p w:rsidR="009D10F0" w:rsidRDefault="009D10F0">
                  <w:pPr>
                    <w:pStyle w:val="TOC3"/>
                    <w:tabs>
                      <w:tab w:val="right" w:leader="dot" w:pos="9350"/>
                    </w:tabs>
                    <w:rPr>
                      <w:rFonts w:eastAsiaTheme="minorEastAsia"/>
                      <w:noProof/>
                    </w:rPr>
                  </w:pPr>
                  <w:hyperlink w:anchor="_Toc295219023" w:history="1">
                    <w:r w:rsidRPr="00BE7DAA">
                      <w:rPr>
                        <w:rStyle w:val="Hyperlink"/>
                        <w:noProof/>
                      </w:rPr>
                      <w:t>Phase 2: July 2011 to June 2012</w:t>
                    </w:r>
                    <w:r>
                      <w:rPr>
                        <w:noProof/>
                        <w:webHidden/>
                      </w:rPr>
                      <w:tab/>
                    </w:r>
                    <w:r>
                      <w:rPr>
                        <w:noProof/>
                        <w:webHidden/>
                      </w:rPr>
                      <w:fldChar w:fldCharType="begin"/>
                    </w:r>
                    <w:r>
                      <w:rPr>
                        <w:noProof/>
                        <w:webHidden/>
                      </w:rPr>
                      <w:instrText xml:space="preserve"> PAGEREF _Toc295219023 \h </w:instrText>
                    </w:r>
                    <w:r>
                      <w:rPr>
                        <w:noProof/>
                        <w:webHidden/>
                      </w:rPr>
                    </w:r>
                    <w:r>
                      <w:rPr>
                        <w:noProof/>
                        <w:webHidden/>
                      </w:rPr>
                      <w:fldChar w:fldCharType="separate"/>
                    </w:r>
                    <w:r>
                      <w:rPr>
                        <w:noProof/>
                        <w:webHidden/>
                      </w:rPr>
                      <w:t>7</w:t>
                    </w:r>
                    <w:r>
                      <w:rPr>
                        <w:noProof/>
                        <w:webHidden/>
                      </w:rPr>
                      <w:fldChar w:fldCharType="end"/>
                    </w:r>
                  </w:hyperlink>
                </w:p>
                <w:p w:rsidR="009D10F0" w:rsidRDefault="009D10F0">
                  <w:pPr>
                    <w:pStyle w:val="TOC1"/>
                    <w:tabs>
                      <w:tab w:val="right" w:leader="dot" w:pos="9350"/>
                    </w:tabs>
                    <w:rPr>
                      <w:rFonts w:eastAsiaTheme="minorEastAsia"/>
                      <w:noProof/>
                    </w:rPr>
                  </w:pPr>
                  <w:hyperlink w:anchor="_Toc295219024" w:history="1">
                    <w:r w:rsidRPr="00BE7DAA">
                      <w:rPr>
                        <w:rStyle w:val="Hyperlink"/>
                        <w:noProof/>
                        <w:lang w:val="en-029"/>
                      </w:rPr>
                      <w:t>METHODS &amp; RESULTS</w:t>
                    </w:r>
                    <w:r>
                      <w:rPr>
                        <w:noProof/>
                        <w:webHidden/>
                      </w:rPr>
                      <w:tab/>
                    </w:r>
                    <w:r>
                      <w:rPr>
                        <w:noProof/>
                        <w:webHidden/>
                      </w:rPr>
                      <w:fldChar w:fldCharType="begin"/>
                    </w:r>
                    <w:r>
                      <w:rPr>
                        <w:noProof/>
                        <w:webHidden/>
                      </w:rPr>
                      <w:instrText xml:space="preserve"> PAGEREF _Toc295219024 \h </w:instrText>
                    </w:r>
                    <w:r>
                      <w:rPr>
                        <w:noProof/>
                        <w:webHidden/>
                      </w:rPr>
                    </w:r>
                    <w:r>
                      <w:rPr>
                        <w:noProof/>
                        <w:webHidden/>
                      </w:rPr>
                      <w:fldChar w:fldCharType="separate"/>
                    </w:r>
                    <w:r>
                      <w:rPr>
                        <w:noProof/>
                        <w:webHidden/>
                      </w:rPr>
                      <w:t>8</w:t>
                    </w:r>
                    <w:r>
                      <w:rPr>
                        <w:noProof/>
                        <w:webHidden/>
                      </w:rPr>
                      <w:fldChar w:fldCharType="end"/>
                    </w:r>
                  </w:hyperlink>
                </w:p>
                <w:p w:rsidR="009D10F0" w:rsidRDefault="009D10F0">
                  <w:pPr>
                    <w:pStyle w:val="TOC2"/>
                    <w:tabs>
                      <w:tab w:val="right" w:leader="dot" w:pos="9350"/>
                    </w:tabs>
                    <w:rPr>
                      <w:rFonts w:eastAsiaTheme="minorEastAsia"/>
                      <w:noProof/>
                    </w:rPr>
                  </w:pPr>
                  <w:hyperlink w:anchor="_Toc295219025" w:history="1">
                    <w:r w:rsidRPr="00BE7DAA">
                      <w:rPr>
                        <w:rStyle w:val="Hyperlink"/>
                        <w:noProof/>
                        <w:lang w:val="en-029"/>
                      </w:rPr>
                      <w:t>Strategy Effectiveness Measures: Sustainable Financing of Protected Areas</w:t>
                    </w:r>
                    <w:r>
                      <w:rPr>
                        <w:noProof/>
                        <w:webHidden/>
                      </w:rPr>
                      <w:tab/>
                    </w:r>
                    <w:r>
                      <w:rPr>
                        <w:noProof/>
                        <w:webHidden/>
                      </w:rPr>
                      <w:fldChar w:fldCharType="begin"/>
                    </w:r>
                    <w:r>
                      <w:rPr>
                        <w:noProof/>
                        <w:webHidden/>
                      </w:rPr>
                      <w:instrText xml:space="preserve"> PAGEREF _Toc295219025 \h </w:instrText>
                    </w:r>
                    <w:r>
                      <w:rPr>
                        <w:noProof/>
                        <w:webHidden/>
                      </w:rPr>
                    </w:r>
                    <w:r>
                      <w:rPr>
                        <w:noProof/>
                        <w:webHidden/>
                      </w:rPr>
                      <w:fldChar w:fldCharType="separate"/>
                    </w:r>
                    <w:r>
                      <w:rPr>
                        <w:noProof/>
                        <w:webHidden/>
                      </w:rPr>
                      <w:t>8</w:t>
                    </w:r>
                    <w:r>
                      <w:rPr>
                        <w:noProof/>
                        <w:webHidden/>
                      </w:rPr>
                      <w:fldChar w:fldCharType="end"/>
                    </w:r>
                  </w:hyperlink>
                </w:p>
                <w:p w:rsidR="009D10F0" w:rsidRDefault="009D10F0">
                  <w:pPr>
                    <w:pStyle w:val="TOC2"/>
                    <w:tabs>
                      <w:tab w:val="right" w:leader="dot" w:pos="9350"/>
                    </w:tabs>
                    <w:rPr>
                      <w:rFonts w:eastAsiaTheme="minorEastAsia"/>
                      <w:noProof/>
                    </w:rPr>
                  </w:pPr>
                  <w:hyperlink w:anchor="_Toc295219026" w:history="1">
                    <w:r w:rsidRPr="00BE7DAA">
                      <w:rPr>
                        <w:rStyle w:val="Hyperlink"/>
                        <w:noProof/>
                        <w:lang w:val="en-029"/>
                      </w:rPr>
                      <w:t>Strategy Effectiveness Measures: Expansion and Enhancement of Marine Protected Areas</w:t>
                    </w:r>
                    <w:r>
                      <w:rPr>
                        <w:noProof/>
                        <w:webHidden/>
                      </w:rPr>
                      <w:tab/>
                    </w:r>
                    <w:r>
                      <w:rPr>
                        <w:noProof/>
                        <w:webHidden/>
                      </w:rPr>
                      <w:fldChar w:fldCharType="begin"/>
                    </w:r>
                    <w:r>
                      <w:rPr>
                        <w:noProof/>
                        <w:webHidden/>
                      </w:rPr>
                      <w:instrText xml:space="preserve"> PAGEREF _Toc295219026 \h </w:instrText>
                    </w:r>
                    <w:r>
                      <w:rPr>
                        <w:noProof/>
                        <w:webHidden/>
                      </w:rPr>
                    </w:r>
                    <w:r>
                      <w:rPr>
                        <w:noProof/>
                        <w:webHidden/>
                      </w:rPr>
                      <w:fldChar w:fldCharType="separate"/>
                    </w:r>
                    <w:r>
                      <w:rPr>
                        <w:noProof/>
                        <w:webHidden/>
                      </w:rPr>
                      <w:t>14</w:t>
                    </w:r>
                    <w:r>
                      <w:rPr>
                        <w:noProof/>
                        <w:webHidden/>
                      </w:rPr>
                      <w:fldChar w:fldCharType="end"/>
                    </w:r>
                  </w:hyperlink>
                </w:p>
                <w:p w:rsidR="009D10F0" w:rsidRDefault="009D10F0">
                  <w:pPr>
                    <w:pStyle w:val="TOC1"/>
                    <w:tabs>
                      <w:tab w:val="right" w:leader="dot" w:pos="9350"/>
                    </w:tabs>
                    <w:rPr>
                      <w:rFonts w:eastAsiaTheme="minorEastAsia"/>
                      <w:noProof/>
                    </w:rPr>
                  </w:pPr>
                  <w:hyperlink w:anchor="_Toc295219027" w:history="1">
                    <w:r w:rsidRPr="00BE7DAA">
                      <w:rPr>
                        <w:rStyle w:val="Hyperlink"/>
                        <w:caps/>
                        <w:noProof/>
                      </w:rPr>
                      <w:t>Measures Implementation in Caribbean Challenge Initiative</w:t>
                    </w:r>
                    <w:r>
                      <w:rPr>
                        <w:noProof/>
                        <w:webHidden/>
                      </w:rPr>
                      <w:tab/>
                    </w:r>
                    <w:r>
                      <w:rPr>
                        <w:noProof/>
                        <w:webHidden/>
                      </w:rPr>
                      <w:fldChar w:fldCharType="begin"/>
                    </w:r>
                    <w:r>
                      <w:rPr>
                        <w:noProof/>
                        <w:webHidden/>
                      </w:rPr>
                      <w:instrText xml:space="preserve"> PAGEREF _Toc295219027 \h </w:instrText>
                    </w:r>
                    <w:r>
                      <w:rPr>
                        <w:noProof/>
                        <w:webHidden/>
                      </w:rPr>
                    </w:r>
                    <w:r>
                      <w:rPr>
                        <w:noProof/>
                        <w:webHidden/>
                      </w:rPr>
                      <w:fldChar w:fldCharType="separate"/>
                    </w:r>
                    <w:r>
                      <w:rPr>
                        <w:noProof/>
                        <w:webHidden/>
                      </w:rPr>
                      <w:t>18</w:t>
                    </w:r>
                    <w:r>
                      <w:rPr>
                        <w:noProof/>
                        <w:webHidden/>
                      </w:rPr>
                      <w:fldChar w:fldCharType="end"/>
                    </w:r>
                  </w:hyperlink>
                </w:p>
                <w:p w:rsidR="009D10F0" w:rsidRDefault="009D10F0">
                  <w:pPr>
                    <w:pStyle w:val="TOC1"/>
                    <w:tabs>
                      <w:tab w:val="right" w:leader="dot" w:pos="9350"/>
                    </w:tabs>
                    <w:rPr>
                      <w:rFonts w:eastAsiaTheme="minorEastAsia"/>
                      <w:noProof/>
                    </w:rPr>
                  </w:pPr>
                  <w:hyperlink w:anchor="_Toc295219028" w:history="1">
                    <w:r w:rsidRPr="00BE7DAA">
                      <w:rPr>
                        <w:rStyle w:val="Hyperlink"/>
                        <w:noProof/>
                        <w:lang w:val="en-029"/>
                      </w:rPr>
                      <w:t>ACRONYMS</w:t>
                    </w:r>
                    <w:r>
                      <w:rPr>
                        <w:noProof/>
                        <w:webHidden/>
                      </w:rPr>
                      <w:tab/>
                    </w:r>
                    <w:r>
                      <w:rPr>
                        <w:noProof/>
                        <w:webHidden/>
                      </w:rPr>
                      <w:fldChar w:fldCharType="begin"/>
                    </w:r>
                    <w:r>
                      <w:rPr>
                        <w:noProof/>
                        <w:webHidden/>
                      </w:rPr>
                      <w:instrText xml:space="preserve"> PAGEREF _Toc295219028 \h </w:instrText>
                    </w:r>
                    <w:r>
                      <w:rPr>
                        <w:noProof/>
                        <w:webHidden/>
                      </w:rPr>
                    </w:r>
                    <w:r>
                      <w:rPr>
                        <w:noProof/>
                        <w:webHidden/>
                      </w:rPr>
                      <w:fldChar w:fldCharType="separate"/>
                    </w:r>
                    <w:r>
                      <w:rPr>
                        <w:noProof/>
                        <w:webHidden/>
                      </w:rPr>
                      <w:t>19</w:t>
                    </w:r>
                    <w:r>
                      <w:rPr>
                        <w:noProof/>
                        <w:webHidden/>
                      </w:rPr>
                      <w:fldChar w:fldCharType="end"/>
                    </w:r>
                  </w:hyperlink>
                </w:p>
                <w:p w:rsidR="009D10F0" w:rsidRDefault="009D10F0">
                  <w:pPr>
                    <w:pStyle w:val="TOC1"/>
                    <w:tabs>
                      <w:tab w:val="right" w:leader="dot" w:pos="9350"/>
                    </w:tabs>
                    <w:rPr>
                      <w:rFonts w:eastAsiaTheme="minorEastAsia"/>
                      <w:noProof/>
                    </w:rPr>
                  </w:pPr>
                  <w:hyperlink w:anchor="_Toc295219029" w:history="1">
                    <w:r w:rsidRPr="00BE7DAA">
                      <w:rPr>
                        <w:rStyle w:val="Hyperlink"/>
                        <w:noProof/>
                        <w:lang w:val="en-029"/>
                      </w:rPr>
                      <w:t>Appendix I: Detailed Monitoring Table for Regional Sustainable Finance Strategy</w:t>
                    </w:r>
                    <w:r>
                      <w:rPr>
                        <w:noProof/>
                        <w:webHidden/>
                      </w:rPr>
                      <w:tab/>
                    </w:r>
                    <w:r>
                      <w:rPr>
                        <w:noProof/>
                        <w:webHidden/>
                      </w:rPr>
                      <w:fldChar w:fldCharType="begin"/>
                    </w:r>
                    <w:r>
                      <w:rPr>
                        <w:noProof/>
                        <w:webHidden/>
                      </w:rPr>
                      <w:instrText xml:space="preserve"> PAGEREF _Toc295219029 \h </w:instrText>
                    </w:r>
                    <w:r>
                      <w:rPr>
                        <w:noProof/>
                        <w:webHidden/>
                      </w:rPr>
                    </w:r>
                    <w:r>
                      <w:rPr>
                        <w:noProof/>
                        <w:webHidden/>
                      </w:rPr>
                      <w:fldChar w:fldCharType="separate"/>
                    </w:r>
                    <w:r>
                      <w:rPr>
                        <w:noProof/>
                        <w:webHidden/>
                      </w:rPr>
                      <w:t>20</w:t>
                    </w:r>
                    <w:r>
                      <w:rPr>
                        <w:noProof/>
                        <w:webHidden/>
                      </w:rPr>
                      <w:fldChar w:fldCharType="end"/>
                    </w:r>
                  </w:hyperlink>
                </w:p>
                <w:p w:rsidR="009D10F0" w:rsidRDefault="009D10F0">
                  <w:pPr>
                    <w:pStyle w:val="TOC1"/>
                    <w:tabs>
                      <w:tab w:val="right" w:leader="dot" w:pos="9350"/>
                    </w:tabs>
                    <w:rPr>
                      <w:rFonts w:eastAsiaTheme="minorEastAsia"/>
                      <w:noProof/>
                    </w:rPr>
                  </w:pPr>
                  <w:hyperlink w:anchor="_Toc295219030" w:history="1">
                    <w:r w:rsidRPr="00BE7DAA">
                      <w:rPr>
                        <w:rStyle w:val="Hyperlink"/>
                        <w:noProof/>
                        <w:lang w:val="en-029"/>
                      </w:rPr>
                      <w:t>Appendix II: Caribbean Challenge Initiative implementation in the Dominican Republic</w:t>
                    </w:r>
                    <w:r>
                      <w:rPr>
                        <w:noProof/>
                        <w:webHidden/>
                      </w:rPr>
                      <w:tab/>
                    </w:r>
                    <w:r>
                      <w:rPr>
                        <w:noProof/>
                        <w:webHidden/>
                      </w:rPr>
                      <w:fldChar w:fldCharType="begin"/>
                    </w:r>
                    <w:r>
                      <w:rPr>
                        <w:noProof/>
                        <w:webHidden/>
                      </w:rPr>
                      <w:instrText xml:space="preserve"> PAGEREF _Toc295219030 \h </w:instrText>
                    </w:r>
                    <w:r>
                      <w:rPr>
                        <w:noProof/>
                        <w:webHidden/>
                      </w:rPr>
                    </w:r>
                    <w:r>
                      <w:rPr>
                        <w:noProof/>
                        <w:webHidden/>
                      </w:rPr>
                      <w:fldChar w:fldCharType="separate"/>
                    </w:r>
                    <w:r>
                      <w:rPr>
                        <w:noProof/>
                        <w:webHidden/>
                      </w:rPr>
                      <w:t>23</w:t>
                    </w:r>
                    <w:r>
                      <w:rPr>
                        <w:noProof/>
                        <w:webHidden/>
                      </w:rPr>
                      <w:fldChar w:fldCharType="end"/>
                    </w:r>
                  </w:hyperlink>
                </w:p>
                <w:p w:rsidR="009D10F0" w:rsidRDefault="009D10F0">
                  <w:pPr>
                    <w:pStyle w:val="TOC2"/>
                    <w:tabs>
                      <w:tab w:val="right" w:leader="dot" w:pos="9350"/>
                    </w:tabs>
                    <w:rPr>
                      <w:rFonts w:eastAsiaTheme="minorEastAsia"/>
                      <w:noProof/>
                    </w:rPr>
                  </w:pPr>
                  <w:hyperlink w:anchor="_Toc295219031" w:history="1">
                    <w:r w:rsidRPr="00BE7DAA">
                      <w:rPr>
                        <w:rStyle w:val="Hyperlink"/>
                        <w:noProof/>
                        <w:lang w:val="en-029"/>
                      </w:rPr>
                      <w:t>Sustainable Financing of Protected Areas</w:t>
                    </w:r>
                    <w:r>
                      <w:rPr>
                        <w:noProof/>
                        <w:webHidden/>
                      </w:rPr>
                      <w:tab/>
                    </w:r>
                    <w:r>
                      <w:rPr>
                        <w:noProof/>
                        <w:webHidden/>
                      </w:rPr>
                      <w:fldChar w:fldCharType="begin"/>
                    </w:r>
                    <w:r>
                      <w:rPr>
                        <w:noProof/>
                        <w:webHidden/>
                      </w:rPr>
                      <w:instrText xml:space="preserve"> PAGEREF _Toc295219031 \h </w:instrText>
                    </w:r>
                    <w:r>
                      <w:rPr>
                        <w:noProof/>
                        <w:webHidden/>
                      </w:rPr>
                    </w:r>
                    <w:r>
                      <w:rPr>
                        <w:noProof/>
                        <w:webHidden/>
                      </w:rPr>
                      <w:fldChar w:fldCharType="separate"/>
                    </w:r>
                    <w:r>
                      <w:rPr>
                        <w:noProof/>
                        <w:webHidden/>
                      </w:rPr>
                      <w:t>23</w:t>
                    </w:r>
                    <w:r>
                      <w:rPr>
                        <w:noProof/>
                        <w:webHidden/>
                      </w:rPr>
                      <w:fldChar w:fldCharType="end"/>
                    </w:r>
                  </w:hyperlink>
                </w:p>
                <w:p w:rsidR="009D10F0" w:rsidRDefault="009D10F0">
                  <w:pPr>
                    <w:pStyle w:val="TOC2"/>
                    <w:tabs>
                      <w:tab w:val="right" w:leader="dot" w:pos="9350"/>
                    </w:tabs>
                    <w:rPr>
                      <w:rFonts w:eastAsiaTheme="minorEastAsia"/>
                      <w:noProof/>
                    </w:rPr>
                  </w:pPr>
                  <w:hyperlink w:anchor="_Toc295219032" w:history="1">
                    <w:r w:rsidRPr="00BE7DAA">
                      <w:rPr>
                        <w:rStyle w:val="Hyperlink"/>
                        <w:noProof/>
                      </w:rPr>
                      <w:t>Protected Area Management Effectiveness and the Improvement of Ecosystem Services</w:t>
                    </w:r>
                    <w:r>
                      <w:rPr>
                        <w:noProof/>
                        <w:webHidden/>
                      </w:rPr>
                      <w:tab/>
                    </w:r>
                    <w:r>
                      <w:rPr>
                        <w:noProof/>
                        <w:webHidden/>
                      </w:rPr>
                      <w:fldChar w:fldCharType="begin"/>
                    </w:r>
                    <w:r>
                      <w:rPr>
                        <w:noProof/>
                        <w:webHidden/>
                      </w:rPr>
                      <w:instrText xml:space="preserve"> PAGEREF _Toc295219032 \h </w:instrText>
                    </w:r>
                    <w:r>
                      <w:rPr>
                        <w:noProof/>
                        <w:webHidden/>
                      </w:rPr>
                    </w:r>
                    <w:r>
                      <w:rPr>
                        <w:noProof/>
                        <w:webHidden/>
                      </w:rPr>
                      <w:fldChar w:fldCharType="separate"/>
                    </w:r>
                    <w:r>
                      <w:rPr>
                        <w:noProof/>
                        <w:webHidden/>
                      </w:rPr>
                      <w:t>24</w:t>
                    </w:r>
                    <w:r>
                      <w:rPr>
                        <w:noProof/>
                        <w:webHidden/>
                      </w:rPr>
                      <w:fldChar w:fldCharType="end"/>
                    </w:r>
                  </w:hyperlink>
                </w:p>
                <w:p w:rsidR="009D10F0" w:rsidRDefault="009D10F0">
                  <w:pPr>
                    <w:pStyle w:val="TOC1"/>
                    <w:tabs>
                      <w:tab w:val="right" w:leader="dot" w:pos="9350"/>
                    </w:tabs>
                    <w:rPr>
                      <w:rFonts w:eastAsiaTheme="minorEastAsia"/>
                      <w:noProof/>
                    </w:rPr>
                  </w:pPr>
                  <w:hyperlink w:anchor="_Toc295219033" w:history="1">
                    <w:r w:rsidRPr="00BE7DAA">
                      <w:rPr>
                        <w:rStyle w:val="Hyperlink"/>
                        <w:noProof/>
                        <w:lang w:val="en-029"/>
                      </w:rPr>
                      <w:t>Appendix III: Caribbean Challenge Initiative implementation in the Bahamas</w:t>
                    </w:r>
                    <w:r>
                      <w:rPr>
                        <w:noProof/>
                        <w:webHidden/>
                      </w:rPr>
                      <w:tab/>
                    </w:r>
                    <w:r>
                      <w:rPr>
                        <w:noProof/>
                        <w:webHidden/>
                      </w:rPr>
                      <w:fldChar w:fldCharType="begin"/>
                    </w:r>
                    <w:r>
                      <w:rPr>
                        <w:noProof/>
                        <w:webHidden/>
                      </w:rPr>
                      <w:instrText xml:space="preserve"> PAGEREF _Toc295219033 \h </w:instrText>
                    </w:r>
                    <w:r>
                      <w:rPr>
                        <w:noProof/>
                        <w:webHidden/>
                      </w:rPr>
                    </w:r>
                    <w:r>
                      <w:rPr>
                        <w:noProof/>
                        <w:webHidden/>
                      </w:rPr>
                      <w:fldChar w:fldCharType="separate"/>
                    </w:r>
                    <w:r>
                      <w:rPr>
                        <w:noProof/>
                        <w:webHidden/>
                      </w:rPr>
                      <w:t>28</w:t>
                    </w:r>
                    <w:r>
                      <w:rPr>
                        <w:noProof/>
                        <w:webHidden/>
                      </w:rPr>
                      <w:fldChar w:fldCharType="end"/>
                    </w:r>
                  </w:hyperlink>
                </w:p>
                <w:p w:rsidR="009D10F0" w:rsidRDefault="009D10F0">
                  <w:pPr>
                    <w:pStyle w:val="TOC1"/>
                    <w:tabs>
                      <w:tab w:val="right" w:leader="dot" w:pos="9350"/>
                    </w:tabs>
                    <w:rPr>
                      <w:rFonts w:eastAsiaTheme="minorEastAsia"/>
                      <w:noProof/>
                    </w:rPr>
                  </w:pPr>
                  <w:hyperlink w:anchor="_Toc295219034" w:history="1">
                    <w:r w:rsidRPr="00BE7DAA">
                      <w:rPr>
                        <w:rStyle w:val="Hyperlink"/>
                        <w:noProof/>
                        <w:lang w:val="en-029"/>
                      </w:rPr>
                      <w:t>Appendix IV: Caribbean Challenge Initiative implementation in Jamaica</w:t>
                    </w:r>
                    <w:r>
                      <w:rPr>
                        <w:noProof/>
                        <w:webHidden/>
                      </w:rPr>
                      <w:tab/>
                    </w:r>
                    <w:r>
                      <w:rPr>
                        <w:noProof/>
                        <w:webHidden/>
                      </w:rPr>
                      <w:fldChar w:fldCharType="begin"/>
                    </w:r>
                    <w:r>
                      <w:rPr>
                        <w:noProof/>
                        <w:webHidden/>
                      </w:rPr>
                      <w:instrText xml:space="preserve"> PAGEREF _Toc295219034 \h </w:instrText>
                    </w:r>
                    <w:r>
                      <w:rPr>
                        <w:noProof/>
                        <w:webHidden/>
                      </w:rPr>
                    </w:r>
                    <w:r>
                      <w:rPr>
                        <w:noProof/>
                        <w:webHidden/>
                      </w:rPr>
                      <w:fldChar w:fldCharType="separate"/>
                    </w:r>
                    <w:r>
                      <w:rPr>
                        <w:noProof/>
                        <w:webHidden/>
                      </w:rPr>
                      <w:t>32</w:t>
                    </w:r>
                    <w:r>
                      <w:rPr>
                        <w:noProof/>
                        <w:webHidden/>
                      </w:rPr>
                      <w:fldChar w:fldCharType="end"/>
                    </w:r>
                  </w:hyperlink>
                </w:p>
                <w:p w:rsidR="009D10F0" w:rsidRDefault="009D10F0">
                  <w:pPr>
                    <w:pStyle w:val="TOC1"/>
                    <w:tabs>
                      <w:tab w:val="right" w:leader="dot" w:pos="9350"/>
                    </w:tabs>
                    <w:rPr>
                      <w:rFonts w:eastAsiaTheme="minorEastAsia"/>
                      <w:noProof/>
                    </w:rPr>
                  </w:pPr>
                  <w:hyperlink w:anchor="_Toc295219035" w:history="1">
                    <w:r w:rsidRPr="00BE7DAA">
                      <w:rPr>
                        <w:rStyle w:val="Hyperlink"/>
                        <w:noProof/>
                        <w:lang w:val="en-029"/>
                      </w:rPr>
                      <w:t>Appendix V: Caribbean Challenge Initiative implementation in the Eastern Caribbean</w:t>
                    </w:r>
                    <w:r>
                      <w:rPr>
                        <w:noProof/>
                        <w:webHidden/>
                      </w:rPr>
                      <w:tab/>
                    </w:r>
                    <w:r>
                      <w:rPr>
                        <w:noProof/>
                        <w:webHidden/>
                      </w:rPr>
                      <w:fldChar w:fldCharType="begin"/>
                    </w:r>
                    <w:r>
                      <w:rPr>
                        <w:noProof/>
                        <w:webHidden/>
                      </w:rPr>
                      <w:instrText xml:space="preserve"> PAGEREF _Toc295219035 \h </w:instrText>
                    </w:r>
                    <w:r>
                      <w:rPr>
                        <w:noProof/>
                        <w:webHidden/>
                      </w:rPr>
                    </w:r>
                    <w:r>
                      <w:rPr>
                        <w:noProof/>
                        <w:webHidden/>
                      </w:rPr>
                      <w:fldChar w:fldCharType="separate"/>
                    </w:r>
                    <w:r>
                      <w:rPr>
                        <w:noProof/>
                        <w:webHidden/>
                      </w:rPr>
                      <w:t>35</w:t>
                    </w:r>
                    <w:r>
                      <w:rPr>
                        <w:noProof/>
                        <w:webHidden/>
                      </w:rPr>
                      <w:fldChar w:fldCharType="end"/>
                    </w:r>
                  </w:hyperlink>
                </w:p>
                <w:p w:rsidR="009D10F0" w:rsidRDefault="009D10F0">
                  <w:pPr>
                    <w:pStyle w:val="TOC1"/>
                    <w:tabs>
                      <w:tab w:val="right" w:leader="dot" w:pos="9350"/>
                    </w:tabs>
                    <w:rPr>
                      <w:rFonts w:eastAsiaTheme="minorEastAsia"/>
                      <w:noProof/>
                    </w:rPr>
                  </w:pPr>
                  <w:hyperlink w:anchor="_Toc295219036" w:history="1">
                    <w:r w:rsidRPr="00BE7DAA">
                      <w:rPr>
                        <w:rStyle w:val="Hyperlink"/>
                        <w:noProof/>
                        <w:lang w:val="en-029"/>
                      </w:rPr>
                      <w:t>Appendix VI: Caribbean Challenge implementation in the Overseas Territories</w:t>
                    </w:r>
                    <w:r>
                      <w:rPr>
                        <w:noProof/>
                        <w:webHidden/>
                      </w:rPr>
                      <w:tab/>
                    </w:r>
                    <w:r>
                      <w:rPr>
                        <w:noProof/>
                        <w:webHidden/>
                      </w:rPr>
                      <w:fldChar w:fldCharType="begin"/>
                    </w:r>
                    <w:r>
                      <w:rPr>
                        <w:noProof/>
                        <w:webHidden/>
                      </w:rPr>
                      <w:instrText xml:space="preserve"> PAGEREF _Toc295219036 \h </w:instrText>
                    </w:r>
                    <w:r>
                      <w:rPr>
                        <w:noProof/>
                        <w:webHidden/>
                      </w:rPr>
                    </w:r>
                    <w:r>
                      <w:rPr>
                        <w:noProof/>
                        <w:webHidden/>
                      </w:rPr>
                      <w:fldChar w:fldCharType="separate"/>
                    </w:r>
                    <w:r>
                      <w:rPr>
                        <w:noProof/>
                        <w:webHidden/>
                      </w:rPr>
                      <w:t>41</w:t>
                    </w:r>
                    <w:r>
                      <w:rPr>
                        <w:noProof/>
                        <w:webHidden/>
                      </w:rPr>
                      <w:fldChar w:fldCharType="end"/>
                    </w:r>
                  </w:hyperlink>
                </w:p>
                <w:p w:rsidR="009D10F0" w:rsidRDefault="009D10F0">
                  <w:pPr>
                    <w:pStyle w:val="TOC1"/>
                    <w:tabs>
                      <w:tab w:val="right" w:leader="dot" w:pos="9350"/>
                    </w:tabs>
                    <w:rPr>
                      <w:rFonts w:eastAsiaTheme="minorEastAsia"/>
                      <w:noProof/>
                    </w:rPr>
                  </w:pPr>
                  <w:hyperlink w:anchor="_Toc295219037" w:history="1">
                    <w:r w:rsidRPr="00BE7DAA">
                      <w:rPr>
                        <w:rStyle w:val="Hyperlink"/>
                        <w:noProof/>
                        <w:lang w:val="en-029"/>
                      </w:rPr>
                      <w:t>Endnotes</w:t>
                    </w:r>
                    <w:r>
                      <w:rPr>
                        <w:noProof/>
                        <w:webHidden/>
                      </w:rPr>
                      <w:tab/>
                    </w:r>
                    <w:r>
                      <w:rPr>
                        <w:noProof/>
                        <w:webHidden/>
                      </w:rPr>
                      <w:fldChar w:fldCharType="begin"/>
                    </w:r>
                    <w:r>
                      <w:rPr>
                        <w:noProof/>
                        <w:webHidden/>
                      </w:rPr>
                      <w:instrText xml:space="preserve"> PAGEREF _Toc295219037 \h </w:instrText>
                    </w:r>
                    <w:r>
                      <w:rPr>
                        <w:noProof/>
                        <w:webHidden/>
                      </w:rPr>
                    </w:r>
                    <w:r>
                      <w:rPr>
                        <w:noProof/>
                        <w:webHidden/>
                      </w:rPr>
                      <w:fldChar w:fldCharType="separate"/>
                    </w:r>
                    <w:r>
                      <w:rPr>
                        <w:noProof/>
                        <w:webHidden/>
                      </w:rPr>
                      <w:t>41</w:t>
                    </w:r>
                    <w:r>
                      <w:rPr>
                        <w:noProof/>
                        <w:webHidden/>
                      </w:rPr>
                      <w:fldChar w:fldCharType="end"/>
                    </w:r>
                  </w:hyperlink>
                </w:p>
                <w:p w:rsidR="0009007D" w:rsidRDefault="00F91061">
                  <w:r>
                    <w:fldChar w:fldCharType="end"/>
                  </w:r>
                </w:p>
              </w:sdtContent>
            </w:sdt>
          </w:sdtContent>
        </w:sdt>
        <w:p w:rsidR="00F9702A" w:rsidRDefault="00F91061"/>
      </w:sdtContent>
    </w:sdt>
    <w:p w:rsidR="0021274F" w:rsidRDefault="0021274F">
      <w:pPr>
        <w:rPr>
          <w:lang w:val="en-029"/>
        </w:rPr>
      </w:pPr>
      <w:r>
        <w:rPr>
          <w:lang w:val="en-029"/>
        </w:rPr>
        <w:br w:type="page"/>
      </w:r>
    </w:p>
    <w:p w:rsidR="00764A97" w:rsidRPr="00917B65" w:rsidRDefault="00764A97" w:rsidP="007B3361">
      <w:pPr>
        <w:pStyle w:val="Heading1"/>
        <w:rPr>
          <w:lang w:val="en-029"/>
        </w:rPr>
      </w:pPr>
      <w:bookmarkStart w:id="1" w:name="_Toc295219017"/>
      <w:r w:rsidRPr="00917B65">
        <w:rPr>
          <w:lang w:val="en-029"/>
        </w:rPr>
        <w:lastRenderedPageBreak/>
        <w:t>INTRODUCTION</w:t>
      </w:r>
      <w:bookmarkEnd w:id="1"/>
    </w:p>
    <w:p w:rsidR="00BD709D" w:rsidRPr="00917B65" w:rsidRDefault="002E5D65" w:rsidP="007B3361">
      <w:pPr>
        <w:pStyle w:val="Heading2"/>
        <w:rPr>
          <w:lang w:val="en-029"/>
        </w:rPr>
      </w:pPr>
      <w:bookmarkStart w:id="2" w:name="_Toc295219018"/>
      <w:r>
        <w:rPr>
          <w:lang w:val="en-029"/>
        </w:rPr>
        <w:t xml:space="preserve">The </w:t>
      </w:r>
      <w:r w:rsidR="00BD709D" w:rsidRPr="00917B65">
        <w:rPr>
          <w:lang w:val="en-029"/>
        </w:rPr>
        <w:t>Caribbean Region</w:t>
      </w:r>
      <w:bookmarkEnd w:id="2"/>
      <w:r w:rsidR="00BD709D" w:rsidRPr="00917B65">
        <w:rPr>
          <w:lang w:val="en-029"/>
        </w:rPr>
        <w:t xml:space="preserve"> </w:t>
      </w:r>
    </w:p>
    <w:p w:rsidR="002E5D65" w:rsidRDefault="00206DFA" w:rsidP="00EA393F">
      <w:pPr>
        <w:rPr>
          <w:lang w:val="en-029"/>
        </w:rPr>
      </w:pPr>
      <w:r>
        <w:rPr>
          <w:lang w:val="en-029"/>
        </w:rPr>
        <w:t>T</w:t>
      </w:r>
      <w:r w:rsidRPr="00917B65">
        <w:rPr>
          <w:lang w:val="en-029"/>
        </w:rPr>
        <w:t xml:space="preserve">he Caribbean is a biological and cultural diversity hotspot </w:t>
      </w:r>
      <w:r>
        <w:rPr>
          <w:lang w:val="en-029"/>
        </w:rPr>
        <w:t>comprised of</w:t>
      </w:r>
      <w:r w:rsidR="00C54AB6" w:rsidRPr="00917B65">
        <w:rPr>
          <w:lang w:val="en-029"/>
        </w:rPr>
        <w:t xml:space="preserve"> </w:t>
      </w:r>
      <w:commentRangeStart w:id="3"/>
      <w:r>
        <w:rPr>
          <w:lang w:val="en-029"/>
        </w:rPr>
        <w:t xml:space="preserve">38 million people </w:t>
      </w:r>
      <w:commentRangeEnd w:id="3"/>
      <w:r w:rsidR="002E5D65">
        <w:rPr>
          <w:rStyle w:val="CommentReference"/>
        </w:rPr>
        <w:commentReference w:id="3"/>
      </w:r>
      <w:r>
        <w:rPr>
          <w:lang w:val="en-029"/>
        </w:rPr>
        <w:t xml:space="preserve">living in </w:t>
      </w:r>
      <w:r w:rsidR="00C54AB6" w:rsidRPr="00917B65">
        <w:rPr>
          <w:lang w:val="en-029"/>
        </w:rPr>
        <w:t>12 sovereign countries and 17 overseas territories</w:t>
      </w:r>
      <w:r w:rsidR="00EA393F" w:rsidRPr="00917B65">
        <w:rPr>
          <w:lang w:val="en-029"/>
        </w:rPr>
        <w:t>,</w:t>
      </w:r>
      <w:r w:rsidR="00C54AB6" w:rsidRPr="00917B65">
        <w:rPr>
          <w:lang w:val="en-029"/>
        </w:rPr>
        <w:t xml:space="preserve"> where at least four major languages </w:t>
      </w:r>
      <w:r w:rsidR="00F9702A">
        <w:rPr>
          <w:lang w:val="en-029"/>
        </w:rPr>
        <w:t>(English, Spanish, French, and Dutc</w:t>
      </w:r>
      <w:r w:rsidR="00F9702A" w:rsidRPr="00633993">
        <w:rPr>
          <w:lang w:val="en-029"/>
        </w:rPr>
        <w:t>h)</w:t>
      </w:r>
      <w:r w:rsidR="002E5D65">
        <w:rPr>
          <w:lang w:val="en-029"/>
        </w:rPr>
        <w:t xml:space="preserve"> </w:t>
      </w:r>
      <w:r w:rsidR="00C54AB6" w:rsidRPr="00917B65">
        <w:rPr>
          <w:lang w:val="en-029"/>
        </w:rPr>
        <w:t>are spoken</w:t>
      </w:r>
      <w:r>
        <w:rPr>
          <w:lang w:val="en-029"/>
        </w:rPr>
        <w:t>.</w:t>
      </w:r>
      <w:r w:rsidR="007B3361" w:rsidRPr="00917B65">
        <w:rPr>
          <w:lang w:val="en-029"/>
        </w:rPr>
        <w:t xml:space="preserve"> </w:t>
      </w:r>
      <w:r w:rsidR="0093622F" w:rsidRPr="00917B65">
        <w:rPr>
          <w:lang w:val="en-029"/>
        </w:rPr>
        <w:t xml:space="preserve">Several </w:t>
      </w:r>
      <w:r>
        <w:rPr>
          <w:lang w:val="en-029"/>
        </w:rPr>
        <w:t xml:space="preserve">biodiversity </w:t>
      </w:r>
      <w:r w:rsidR="007B3361" w:rsidRPr="00917B65">
        <w:rPr>
          <w:lang w:val="en-029"/>
        </w:rPr>
        <w:t>analyses</w:t>
      </w:r>
      <w:r w:rsidR="0093622F" w:rsidRPr="00917B65">
        <w:rPr>
          <w:lang w:val="en-029"/>
        </w:rPr>
        <w:t xml:space="preserve"> have highlighted the global </w:t>
      </w:r>
      <w:r>
        <w:rPr>
          <w:lang w:val="en-029"/>
        </w:rPr>
        <w:t>significance</w:t>
      </w:r>
      <w:r w:rsidRPr="00917B65">
        <w:rPr>
          <w:lang w:val="en-029"/>
        </w:rPr>
        <w:t xml:space="preserve"> </w:t>
      </w:r>
      <w:r w:rsidR="0093622F" w:rsidRPr="00917B65">
        <w:rPr>
          <w:lang w:val="en-029"/>
        </w:rPr>
        <w:t xml:space="preserve">of the Caribbean’s </w:t>
      </w:r>
      <w:r w:rsidR="009214F2">
        <w:rPr>
          <w:lang w:val="en-029"/>
        </w:rPr>
        <w:t xml:space="preserve">natural </w:t>
      </w:r>
      <w:r w:rsidR="00AA6A63" w:rsidRPr="00917B65">
        <w:rPr>
          <w:lang w:val="en-029"/>
        </w:rPr>
        <w:t>systems</w:t>
      </w:r>
      <w:r w:rsidR="002E5D65">
        <w:rPr>
          <w:lang w:val="en-029"/>
        </w:rPr>
        <w:t xml:space="preserve">. </w:t>
      </w:r>
      <w:r>
        <w:rPr>
          <w:lang w:val="en-029"/>
        </w:rPr>
        <w:t>T</w:t>
      </w:r>
      <w:r w:rsidR="007B3361" w:rsidRPr="00917B65">
        <w:rPr>
          <w:lang w:val="en-029"/>
        </w:rPr>
        <w:t xml:space="preserve">he </w:t>
      </w:r>
      <w:r>
        <w:rPr>
          <w:lang w:val="en-029"/>
        </w:rPr>
        <w:t xml:space="preserve">Nature </w:t>
      </w:r>
      <w:r w:rsidR="007B3361" w:rsidRPr="00917B65">
        <w:rPr>
          <w:lang w:val="en-029"/>
        </w:rPr>
        <w:t>Conservancy’s</w:t>
      </w:r>
      <w:r w:rsidR="00701B5A">
        <w:rPr>
          <w:lang w:val="en-029"/>
        </w:rPr>
        <w:t xml:space="preserve"> Caribbean Ecoregional Assessment</w:t>
      </w:r>
      <w:r w:rsidR="00701B5A">
        <w:rPr>
          <w:rStyle w:val="EndnoteReference"/>
          <w:lang w:val="en-029"/>
        </w:rPr>
        <w:endnoteReference w:id="1"/>
      </w:r>
      <w:r w:rsidR="007B3361" w:rsidRPr="00917B65">
        <w:rPr>
          <w:lang w:val="en-029"/>
        </w:rPr>
        <w:t xml:space="preserve"> </w:t>
      </w:r>
      <w:r w:rsidR="00701B5A">
        <w:rPr>
          <w:lang w:val="en-029"/>
        </w:rPr>
        <w:t xml:space="preserve"> identified</w:t>
      </w:r>
      <w:r w:rsidR="007B3361" w:rsidRPr="00917B65">
        <w:rPr>
          <w:lang w:val="en-029"/>
        </w:rPr>
        <w:t xml:space="preserve"> the </w:t>
      </w:r>
      <w:r>
        <w:rPr>
          <w:lang w:val="en-029"/>
        </w:rPr>
        <w:t xml:space="preserve">Caribbean’s </w:t>
      </w:r>
      <w:r w:rsidR="007B3361" w:rsidRPr="00917B65">
        <w:rPr>
          <w:lang w:val="en-029"/>
        </w:rPr>
        <w:t>eight marine ecoregions as having enabling conditions that would allow significant progress towards</w:t>
      </w:r>
      <w:r w:rsidR="00701B5A">
        <w:rPr>
          <w:lang w:val="en-029"/>
        </w:rPr>
        <w:t xml:space="preserve"> </w:t>
      </w:r>
      <w:r w:rsidR="00F12973">
        <w:rPr>
          <w:lang w:val="en-029"/>
        </w:rPr>
        <w:t xml:space="preserve">achieving </w:t>
      </w:r>
      <w:r w:rsidR="00F9702A">
        <w:rPr>
          <w:lang w:val="en-029"/>
        </w:rPr>
        <w:t xml:space="preserve">the Conservancy’s </w:t>
      </w:r>
      <w:r w:rsidR="00F12973">
        <w:rPr>
          <w:lang w:val="en-029"/>
        </w:rPr>
        <w:t xml:space="preserve">conservation </w:t>
      </w:r>
      <w:r w:rsidR="0089793F">
        <w:rPr>
          <w:lang w:val="en-029"/>
        </w:rPr>
        <w:t>and human well-being</w:t>
      </w:r>
      <w:r w:rsidR="00701B5A">
        <w:rPr>
          <w:lang w:val="en-029"/>
        </w:rPr>
        <w:t xml:space="preserve"> goals</w:t>
      </w:r>
      <w:r w:rsidR="007B3361" w:rsidRPr="00917B65">
        <w:rPr>
          <w:lang w:val="en-029"/>
        </w:rPr>
        <w:t>.</w:t>
      </w:r>
      <w:r w:rsidR="00195039">
        <w:rPr>
          <w:lang w:val="en-029"/>
        </w:rPr>
        <w:t xml:space="preserve"> </w:t>
      </w:r>
      <w:r w:rsidR="002E5D65" w:rsidRPr="00917B65">
        <w:rPr>
          <w:lang w:val="en-029"/>
        </w:rPr>
        <w:t>These eight marine ecoregions contain significant coral reefs, sea grasses, and mangroves as well as turtle and seabird nesting sites</w:t>
      </w:r>
      <w:r w:rsidR="002E5D65">
        <w:rPr>
          <w:lang w:val="en-029"/>
        </w:rPr>
        <w:t xml:space="preserve">. </w:t>
      </w:r>
      <w:r w:rsidR="00195039">
        <w:rPr>
          <w:lang w:val="en-029"/>
        </w:rPr>
        <w:t xml:space="preserve">According to </w:t>
      </w:r>
      <w:r w:rsidR="00195039" w:rsidRPr="00701B5A">
        <w:rPr>
          <w:i/>
          <w:lang w:val="en-029"/>
        </w:rPr>
        <w:t>Reefs at Risk Revisited</w:t>
      </w:r>
      <w:r w:rsidR="00195039">
        <w:rPr>
          <w:lang w:val="en-029"/>
        </w:rPr>
        <w:t xml:space="preserve">, Caribbean reefs </w:t>
      </w:r>
      <w:r w:rsidR="006A6442">
        <w:rPr>
          <w:lang w:val="en-029"/>
        </w:rPr>
        <w:t xml:space="preserve">in the </w:t>
      </w:r>
      <w:r w:rsidR="006A6442" w:rsidRPr="00917B65">
        <w:rPr>
          <w:lang w:val="en-029"/>
        </w:rPr>
        <w:t>tropical western Atlantic realm</w:t>
      </w:r>
      <w:r w:rsidR="006A6442">
        <w:rPr>
          <w:lang w:val="en-029"/>
        </w:rPr>
        <w:t xml:space="preserve"> </w:t>
      </w:r>
      <w:r w:rsidR="00195039">
        <w:rPr>
          <w:lang w:val="en-029"/>
        </w:rPr>
        <w:t xml:space="preserve">account for almost 10% of the </w:t>
      </w:r>
      <w:r w:rsidR="006A6442">
        <w:rPr>
          <w:lang w:val="en-029"/>
        </w:rPr>
        <w:t xml:space="preserve">area of </w:t>
      </w:r>
      <w:r w:rsidR="00F12973">
        <w:rPr>
          <w:lang w:val="en-029"/>
        </w:rPr>
        <w:t>the</w:t>
      </w:r>
      <w:r w:rsidR="006A6442">
        <w:rPr>
          <w:lang w:val="en-029"/>
        </w:rPr>
        <w:t xml:space="preserve"> </w:t>
      </w:r>
      <w:r w:rsidR="00195039">
        <w:rPr>
          <w:lang w:val="en-029"/>
        </w:rPr>
        <w:t>world’s coral reefs</w:t>
      </w:r>
      <w:r w:rsidR="00195039">
        <w:rPr>
          <w:rStyle w:val="EndnoteReference"/>
          <w:lang w:val="en-029"/>
        </w:rPr>
        <w:endnoteReference w:id="2"/>
      </w:r>
      <w:r w:rsidR="00701B5A">
        <w:rPr>
          <w:lang w:val="en-029"/>
        </w:rPr>
        <w:t>.</w:t>
      </w:r>
      <w:r w:rsidR="00701B5A">
        <w:rPr>
          <w:rStyle w:val="EndnoteReference"/>
          <w:lang w:val="en-029"/>
        </w:rPr>
        <w:t xml:space="preserve"> </w:t>
      </w:r>
      <w:r w:rsidR="007B3361" w:rsidRPr="00917B65">
        <w:rPr>
          <w:lang w:val="en-029"/>
        </w:rPr>
        <w:t>Similarly, a study concluded by Conservation International</w:t>
      </w:r>
      <w:r w:rsidR="00195039">
        <w:rPr>
          <w:rStyle w:val="EndnoteReference"/>
          <w:lang w:val="en-029"/>
        </w:rPr>
        <w:endnoteReference w:id="3"/>
      </w:r>
      <w:r w:rsidR="007B3361" w:rsidRPr="00917B65">
        <w:rPr>
          <w:lang w:val="en-029"/>
        </w:rPr>
        <w:t xml:space="preserve"> identified the islands of the Caribbean as </w:t>
      </w:r>
      <w:r w:rsidR="00EA393F" w:rsidRPr="00917B65">
        <w:rPr>
          <w:lang w:val="en-029"/>
        </w:rPr>
        <w:t xml:space="preserve">a </w:t>
      </w:r>
      <w:r w:rsidR="007B3361" w:rsidRPr="00917B65">
        <w:rPr>
          <w:lang w:val="en-029"/>
        </w:rPr>
        <w:t xml:space="preserve">global hotspot based on the unique species of </w:t>
      </w:r>
      <w:r w:rsidR="0093622F" w:rsidRPr="00917B65">
        <w:rPr>
          <w:lang w:val="en-029"/>
        </w:rPr>
        <w:t xml:space="preserve">terrestrial and aquatic </w:t>
      </w:r>
      <w:r w:rsidR="007B3361" w:rsidRPr="00917B65">
        <w:rPr>
          <w:lang w:val="en-029"/>
        </w:rPr>
        <w:t>plants and animals that are only found in this part of the world.</w:t>
      </w:r>
      <w:r w:rsidR="006A6442" w:rsidRPr="006A6442">
        <w:rPr>
          <w:lang w:val="en-029"/>
        </w:rPr>
        <w:t xml:space="preserve"> </w:t>
      </w:r>
    </w:p>
    <w:p w:rsidR="009214F2" w:rsidRDefault="002E5D65" w:rsidP="00EA393F">
      <w:pPr>
        <w:rPr>
          <w:lang w:val="en-029"/>
        </w:rPr>
      </w:pPr>
      <w:r>
        <w:t>T</w:t>
      </w:r>
      <w:r w:rsidRPr="002E5D65">
        <w:t>he Caribbean is highly dependent on the marine and coastal environment for jobs, incom</w:t>
      </w:r>
      <w:r w:rsidR="00196A0C">
        <w:t xml:space="preserve">e, food security and </w:t>
      </w:r>
      <w:r w:rsidRPr="002E5D65">
        <w:t xml:space="preserve">economic prosperity. </w:t>
      </w:r>
      <w:r w:rsidR="009214F2">
        <w:t>T</w:t>
      </w:r>
      <w:r w:rsidR="00196A0C">
        <w:t xml:space="preserve">he majority of the population lives within the coastal zone and </w:t>
      </w:r>
      <w:r w:rsidR="00196A0C" w:rsidRPr="002E5D65">
        <w:rPr>
          <w:lang w:val="en-AU"/>
        </w:rPr>
        <w:t>the</w:t>
      </w:r>
      <w:r w:rsidRPr="002E5D65">
        <w:rPr>
          <w:lang w:val="en-AU"/>
        </w:rPr>
        <w:t xml:space="preserve"> tourism sector</w:t>
      </w:r>
      <w:r w:rsidR="006E356D">
        <w:rPr>
          <w:lang w:val="en-AU"/>
        </w:rPr>
        <w:t xml:space="preserve">, the cornerstone of most Caribbean economies, </w:t>
      </w:r>
      <w:r w:rsidRPr="002E5D65">
        <w:rPr>
          <w:lang w:val="en-AU"/>
        </w:rPr>
        <w:t xml:space="preserve">is inextricably linked to a healthy marine and coastal environment. Tourism </w:t>
      </w:r>
      <w:r w:rsidR="006E356D">
        <w:rPr>
          <w:lang w:val="en-AU"/>
        </w:rPr>
        <w:t>brings</w:t>
      </w:r>
      <w:r w:rsidRPr="002E5D65">
        <w:rPr>
          <w:lang w:val="en-AU"/>
        </w:rPr>
        <w:t xml:space="preserve"> 25 million tourists </w:t>
      </w:r>
      <w:r w:rsidR="006E356D">
        <w:rPr>
          <w:lang w:val="en-AU"/>
        </w:rPr>
        <w:t xml:space="preserve">to the region </w:t>
      </w:r>
      <w:r w:rsidRPr="002E5D65">
        <w:rPr>
          <w:lang w:val="en-AU"/>
        </w:rPr>
        <w:t>every year</w:t>
      </w:r>
      <w:r w:rsidR="006E356D">
        <w:rPr>
          <w:lang w:val="en-AU"/>
        </w:rPr>
        <w:t>,</w:t>
      </w:r>
      <w:r w:rsidRPr="002E5D65">
        <w:rPr>
          <w:lang w:val="en-AU"/>
        </w:rPr>
        <w:t xml:space="preserve"> generating $25 billion in revenues</w:t>
      </w:r>
      <w:r w:rsidR="006E356D">
        <w:rPr>
          <w:lang w:val="en-AU"/>
        </w:rPr>
        <w:t xml:space="preserve"> (a</w:t>
      </w:r>
      <w:r w:rsidRPr="002E5D65">
        <w:rPr>
          <w:lang w:val="en-AU"/>
        </w:rPr>
        <w:t xml:space="preserve">bout </w:t>
      </w:r>
      <w:r w:rsidRPr="002E5D65">
        <w:t>25% of GDP</w:t>
      </w:r>
      <w:r w:rsidR="006E356D">
        <w:t>)</w:t>
      </w:r>
      <w:r w:rsidRPr="002E5D65">
        <w:rPr>
          <w:lang w:val="en-AU"/>
        </w:rPr>
        <w:t xml:space="preserve"> and supporting 6 million jobs (one in every four jobs).</w:t>
      </w:r>
      <w:r w:rsidR="009214F2" w:rsidRPr="009214F2">
        <w:rPr>
          <w:lang w:val="en-029"/>
        </w:rPr>
        <w:t xml:space="preserve"> </w:t>
      </w:r>
    </w:p>
    <w:p w:rsidR="004D0BB7" w:rsidRPr="00F9702A" w:rsidRDefault="009214F2" w:rsidP="006E356D">
      <w:pPr>
        <w:rPr>
          <w:lang w:val="en-029"/>
        </w:rPr>
      </w:pPr>
      <w:r w:rsidRPr="00F9702A">
        <w:rPr>
          <w:lang w:val="en-029"/>
        </w:rPr>
        <w:t>While there is an ever-growing body of information documenting the social and economic values of these marine and coastal resources, their long-term health remains largely undervalued by public and private sector leaders. For example, it is estimated that only 8%</w:t>
      </w:r>
      <w:r w:rsidR="006E356D">
        <w:rPr>
          <w:rStyle w:val="EndnoteReference"/>
          <w:lang w:val="en-029"/>
        </w:rPr>
        <w:endnoteReference w:id="4"/>
      </w:r>
      <w:r w:rsidRPr="00F9702A">
        <w:rPr>
          <w:lang w:val="en-029"/>
        </w:rPr>
        <w:t xml:space="preserve"> of the nearshore and </w:t>
      </w:r>
      <w:r>
        <w:rPr>
          <w:lang w:val="en-029"/>
        </w:rPr>
        <w:t xml:space="preserve">coastal </w:t>
      </w:r>
      <w:r w:rsidRPr="00F9702A">
        <w:rPr>
          <w:lang w:val="en-029"/>
        </w:rPr>
        <w:t xml:space="preserve">shelf </w:t>
      </w:r>
      <w:r w:rsidR="00944F52">
        <w:rPr>
          <w:lang w:val="en-029"/>
        </w:rPr>
        <w:t>(</w:t>
      </w:r>
      <w:r w:rsidRPr="00F9702A">
        <w:rPr>
          <w:lang w:val="en-029"/>
        </w:rPr>
        <w:t>out to 200m depth contour</w:t>
      </w:r>
      <w:r w:rsidR="00944F52">
        <w:rPr>
          <w:lang w:val="en-029"/>
        </w:rPr>
        <w:t>)</w:t>
      </w:r>
      <w:r w:rsidRPr="00F9702A">
        <w:rPr>
          <w:lang w:val="en-029"/>
        </w:rPr>
        <w:t xml:space="preserve"> is legally protected. Of these existing protected areas, a vast majority of them are ‘paper parks,’ being poorly financed and severely lacking in management capacity. </w:t>
      </w:r>
      <w:r w:rsidR="00BC19F5">
        <w:rPr>
          <w:lang w:val="en-029"/>
        </w:rPr>
        <w:t>T</w:t>
      </w:r>
      <w:r w:rsidR="006E356D">
        <w:rPr>
          <w:lang w:val="en-029"/>
        </w:rPr>
        <w:t>he Caribbean</w:t>
      </w:r>
      <w:r w:rsidR="00BC19F5">
        <w:rPr>
          <w:lang w:val="en-029"/>
        </w:rPr>
        <w:t>’s coastal and marine resources are</w:t>
      </w:r>
      <w:r w:rsidR="00F12973">
        <w:rPr>
          <w:lang w:val="en-029"/>
        </w:rPr>
        <w:t xml:space="preserve"> </w:t>
      </w:r>
      <w:r w:rsidR="006E356D">
        <w:rPr>
          <w:lang w:val="en-029"/>
        </w:rPr>
        <w:t xml:space="preserve">also </w:t>
      </w:r>
      <w:r w:rsidR="006A6442">
        <w:rPr>
          <w:lang w:val="en-029"/>
        </w:rPr>
        <w:t>fac</w:t>
      </w:r>
      <w:r w:rsidR="00F12973">
        <w:rPr>
          <w:lang w:val="en-029"/>
        </w:rPr>
        <w:t xml:space="preserve">ing increasing pressures such </w:t>
      </w:r>
      <w:r w:rsidR="00F9702A">
        <w:rPr>
          <w:lang w:val="en-029"/>
        </w:rPr>
        <w:t>as</w:t>
      </w:r>
      <w:r w:rsidR="006A6442" w:rsidRPr="00917B65">
        <w:rPr>
          <w:lang w:val="en-029"/>
        </w:rPr>
        <w:t xml:space="preserve">, </w:t>
      </w:r>
      <w:r w:rsidR="006A6442">
        <w:rPr>
          <w:lang w:val="en-029"/>
        </w:rPr>
        <w:t xml:space="preserve">unsustainable coastal </w:t>
      </w:r>
      <w:r w:rsidR="006A6442" w:rsidRPr="00917B65">
        <w:rPr>
          <w:lang w:val="en-029"/>
        </w:rPr>
        <w:t>development</w:t>
      </w:r>
      <w:r w:rsidR="006E356D" w:rsidRPr="006E356D">
        <w:rPr>
          <w:lang w:val="en-029"/>
        </w:rPr>
        <w:t xml:space="preserve"> </w:t>
      </w:r>
      <w:r w:rsidR="006E356D">
        <w:rPr>
          <w:lang w:val="en-029"/>
        </w:rPr>
        <w:t xml:space="preserve">and </w:t>
      </w:r>
      <w:r w:rsidR="006E356D" w:rsidRPr="00917B65">
        <w:rPr>
          <w:lang w:val="en-029"/>
        </w:rPr>
        <w:t>tourism</w:t>
      </w:r>
      <w:r w:rsidR="006E356D">
        <w:rPr>
          <w:lang w:val="en-029"/>
        </w:rPr>
        <w:t xml:space="preserve"> growth</w:t>
      </w:r>
      <w:r w:rsidR="00F12973">
        <w:rPr>
          <w:lang w:val="en-029"/>
        </w:rPr>
        <w:t>,</w:t>
      </w:r>
      <w:r w:rsidR="006A6442" w:rsidRPr="00917B65">
        <w:rPr>
          <w:lang w:val="en-029"/>
        </w:rPr>
        <w:t xml:space="preserve"> </w:t>
      </w:r>
      <w:r w:rsidR="006E356D">
        <w:rPr>
          <w:lang w:val="en-029"/>
        </w:rPr>
        <w:t xml:space="preserve">coastal pollution, </w:t>
      </w:r>
      <w:r w:rsidR="006A6442" w:rsidRPr="00917B65">
        <w:rPr>
          <w:lang w:val="en-029"/>
        </w:rPr>
        <w:t xml:space="preserve">overfishing </w:t>
      </w:r>
      <w:r w:rsidR="006E356D">
        <w:rPr>
          <w:lang w:val="en-029"/>
        </w:rPr>
        <w:t xml:space="preserve">and climate change </w:t>
      </w:r>
      <w:r w:rsidR="006A6442" w:rsidRPr="00917B65">
        <w:rPr>
          <w:lang w:val="en-029"/>
        </w:rPr>
        <w:t xml:space="preserve">that </w:t>
      </w:r>
      <w:r w:rsidR="00F12973">
        <w:rPr>
          <w:lang w:val="en-029"/>
        </w:rPr>
        <w:t xml:space="preserve">are </w:t>
      </w:r>
      <w:r w:rsidR="006A6442" w:rsidRPr="00917B65">
        <w:rPr>
          <w:lang w:val="en-029"/>
        </w:rPr>
        <w:t>threaten</w:t>
      </w:r>
      <w:r w:rsidR="00F12973">
        <w:rPr>
          <w:lang w:val="en-029"/>
        </w:rPr>
        <w:t>ing</w:t>
      </w:r>
      <w:r w:rsidR="006A6442" w:rsidRPr="00917B65">
        <w:rPr>
          <w:lang w:val="en-029"/>
        </w:rPr>
        <w:t xml:space="preserve"> </w:t>
      </w:r>
      <w:r w:rsidR="00F12973">
        <w:rPr>
          <w:lang w:val="en-029"/>
        </w:rPr>
        <w:t>the</w:t>
      </w:r>
      <w:r w:rsidR="006A6442" w:rsidRPr="00917B65">
        <w:rPr>
          <w:lang w:val="en-029"/>
        </w:rPr>
        <w:t xml:space="preserve"> future</w:t>
      </w:r>
      <w:r w:rsidR="00F12973">
        <w:rPr>
          <w:lang w:val="en-029"/>
        </w:rPr>
        <w:t xml:space="preserve"> of these marine and coastal resources</w:t>
      </w:r>
      <w:r w:rsidR="006A6442" w:rsidRPr="00917B65">
        <w:rPr>
          <w:lang w:val="en-029"/>
        </w:rPr>
        <w:t>.</w:t>
      </w:r>
      <w:r w:rsidR="006E356D">
        <w:rPr>
          <w:lang w:val="en-029"/>
        </w:rPr>
        <w:t xml:space="preserve"> </w:t>
      </w:r>
      <w:r w:rsidR="00EA393F" w:rsidRPr="00F9702A">
        <w:rPr>
          <w:lang w:val="en-029"/>
        </w:rPr>
        <w:t xml:space="preserve">This low level of protection and investment, combined with </w:t>
      </w:r>
      <w:r w:rsidR="006E356D">
        <w:rPr>
          <w:lang w:val="en-029"/>
        </w:rPr>
        <w:t>unprecedented threats</w:t>
      </w:r>
      <w:r w:rsidR="00EA393F" w:rsidRPr="00F9702A">
        <w:rPr>
          <w:lang w:val="en-029"/>
        </w:rPr>
        <w:t>, put these resources</w:t>
      </w:r>
      <w:r w:rsidR="006A6442" w:rsidRPr="00F9702A">
        <w:rPr>
          <w:lang w:val="en-029"/>
        </w:rPr>
        <w:t>, Caribbean people</w:t>
      </w:r>
      <w:r w:rsidR="00EA393F" w:rsidRPr="00F9702A">
        <w:rPr>
          <w:lang w:val="en-029"/>
        </w:rPr>
        <w:t xml:space="preserve"> – and the region’s future economic prosperity – at great risk.</w:t>
      </w:r>
      <w:r w:rsidR="00F518ED">
        <w:rPr>
          <w:lang w:val="en-029"/>
        </w:rPr>
        <w:t xml:space="preserve"> </w:t>
      </w:r>
    </w:p>
    <w:p w:rsidR="007B3361" w:rsidRDefault="006E356D" w:rsidP="00F9702A">
      <w:pPr>
        <w:rPr>
          <w:rFonts w:ascii="Calibri" w:hAnsi="Calibri"/>
          <w:lang w:val="en-029"/>
        </w:rPr>
      </w:pPr>
      <w:r>
        <w:rPr>
          <w:rFonts w:ascii="Calibri" w:hAnsi="Calibri"/>
          <w:lang w:val="en-029"/>
        </w:rPr>
        <w:t xml:space="preserve">Collective </w:t>
      </w:r>
      <w:r w:rsidR="00BC19F5">
        <w:rPr>
          <w:rFonts w:ascii="Calibri" w:hAnsi="Calibri"/>
          <w:lang w:val="en-029"/>
        </w:rPr>
        <w:t xml:space="preserve">and decisive </w:t>
      </w:r>
      <w:r>
        <w:rPr>
          <w:rFonts w:ascii="Calibri" w:hAnsi="Calibri"/>
          <w:lang w:val="en-029"/>
        </w:rPr>
        <w:t xml:space="preserve">action is needed to stem this trend. </w:t>
      </w:r>
      <w:r w:rsidRPr="006E356D">
        <w:rPr>
          <w:rFonts w:ascii="Calibri" w:hAnsi="Calibri"/>
        </w:rPr>
        <w:t xml:space="preserve">The </w:t>
      </w:r>
      <w:r w:rsidRPr="00F9702A">
        <w:rPr>
          <w:rFonts w:ascii="Calibri" w:hAnsi="Calibri"/>
          <w:lang w:val="en-029"/>
        </w:rPr>
        <w:t>Caribbean Challenge</w:t>
      </w:r>
      <w:r>
        <w:rPr>
          <w:rFonts w:ascii="Calibri" w:hAnsi="Calibri"/>
          <w:lang w:val="en-029"/>
        </w:rPr>
        <w:t xml:space="preserve"> Initiative (CCI)</w:t>
      </w:r>
      <w:r w:rsidRPr="006E356D">
        <w:rPr>
          <w:rFonts w:ascii="Calibri" w:hAnsi="Calibri"/>
        </w:rPr>
        <w:t xml:space="preserve"> is an effort to chart a new course for protecting and managing the precious marine and coastal resources of the region</w:t>
      </w:r>
      <w:r w:rsidR="00F518ED" w:rsidRPr="00F518ED">
        <w:rPr>
          <w:rFonts w:ascii="Calibri" w:hAnsi="Calibri"/>
        </w:rPr>
        <w:t>.</w:t>
      </w:r>
      <w:r w:rsidR="004D0BB7" w:rsidRPr="00F9702A">
        <w:rPr>
          <w:rFonts w:ascii="Calibri" w:hAnsi="Calibri"/>
          <w:lang w:val="en-029"/>
        </w:rPr>
        <w:t xml:space="preserve">This document outlines </w:t>
      </w:r>
      <w:r w:rsidR="00066BDB" w:rsidRPr="00F9702A">
        <w:rPr>
          <w:rFonts w:ascii="Calibri" w:hAnsi="Calibri"/>
          <w:lang w:val="en-029"/>
        </w:rPr>
        <w:t xml:space="preserve">a </w:t>
      </w:r>
      <w:r w:rsidR="00F9702A">
        <w:rPr>
          <w:rFonts w:ascii="Calibri" w:hAnsi="Calibri"/>
          <w:lang w:val="en-029"/>
        </w:rPr>
        <w:t xml:space="preserve">framework for </w:t>
      </w:r>
      <w:r w:rsidR="00D11A06" w:rsidRPr="00F9702A">
        <w:rPr>
          <w:rFonts w:ascii="Calibri" w:hAnsi="Calibri"/>
          <w:lang w:val="en-029"/>
        </w:rPr>
        <w:t>evaluating progress on the Caribbean Challenge</w:t>
      </w:r>
      <w:r w:rsidR="00F9702A">
        <w:rPr>
          <w:rFonts w:ascii="Calibri" w:hAnsi="Calibri"/>
          <w:lang w:val="en-029"/>
        </w:rPr>
        <w:t xml:space="preserve"> Initiative</w:t>
      </w:r>
      <w:r w:rsidR="00D11A06" w:rsidRPr="00F9702A">
        <w:rPr>
          <w:rFonts w:ascii="Calibri" w:hAnsi="Calibri"/>
          <w:lang w:val="en-029"/>
        </w:rPr>
        <w:t xml:space="preserve">, an effort </w:t>
      </w:r>
      <w:r w:rsidR="00F9702A">
        <w:rPr>
          <w:rFonts w:ascii="Calibri" w:hAnsi="Calibri"/>
          <w:lang w:val="en-029"/>
        </w:rPr>
        <w:t xml:space="preserve">primarily geared </w:t>
      </w:r>
      <w:r w:rsidR="001D5619" w:rsidRPr="00F9702A">
        <w:rPr>
          <w:rFonts w:ascii="Calibri" w:hAnsi="Calibri"/>
          <w:lang w:val="en-029"/>
        </w:rPr>
        <w:t xml:space="preserve">to sustainably protect Caribbean marine </w:t>
      </w:r>
      <w:r w:rsidR="00F9702A" w:rsidRPr="00F9702A">
        <w:rPr>
          <w:rFonts w:ascii="Calibri" w:hAnsi="Calibri"/>
          <w:lang w:val="en-029"/>
        </w:rPr>
        <w:t xml:space="preserve">ecosystems. </w:t>
      </w:r>
      <w:r w:rsidR="001D5619" w:rsidRPr="00F9702A">
        <w:rPr>
          <w:rFonts w:ascii="Calibri" w:hAnsi="Calibri"/>
          <w:lang w:val="en-029"/>
        </w:rPr>
        <w:t xml:space="preserve">This adaptive management framework will guide the evaluation of conservation strategies and help to determine </w:t>
      </w:r>
      <w:r w:rsidR="00243A13">
        <w:rPr>
          <w:rFonts w:ascii="Calibri" w:hAnsi="Calibri"/>
          <w:lang w:val="en-029"/>
        </w:rPr>
        <w:t xml:space="preserve">the </w:t>
      </w:r>
      <w:r w:rsidR="001D5619" w:rsidRPr="00F9702A">
        <w:rPr>
          <w:rFonts w:ascii="Calibri" w:hAnsi="Calibri"/>
          <w:lang w:val="en-029"/>
        </w:rPr>
        <w:t xml:space="preserve">return on investment for the </w:t>
      </w:r>
      <w:r w:rsidR="004059A3" w:rsidRPr="00F9702A">
        <w:rPr>
          <w:rFonts w:ascii="Calibri" w:hAnsi="Calibri"/>
          <w:lang w:val="en-029"/>
        </w:rPr>
        <w:t>Initiative</w:t>
      </w:r>
      <w:r w:rsidR="00F9702A">
        <w:rPr>
          <w:rFonts w:ascii="Calibri" w:hAnsi="Calibri"/>
          <w:lang w:val="en-029"/>
        </w:rPr>
        <w:t>.</w:t>
      </w:r>
    </w:p>
    <w:p w:rsidR="00CB64B6" w:rsidRDefault="00CB64B6" w:rsidP="00F9702A">
      <w:pPr>
        <w:rPr>
          <w:rFonts w:ascii="Calibri" w:hAnsi="Calibri"/>
          <w:lang w:val="en-029"/>
        </w:rPr>
      </w:pPr>
    </w:p>
    <w:p w:rsidR="00CB64B6" w:rsidRDefault="00CB64B6" w:rsidP="00F9702A">
      <w:pPr>
        <w:rPr>
          <w:lang w:val="en-029"/>
        </w:rPr>
        <w:sectPr w:rsidR="00CB64B6" w:rsidSect="00452A9D">
          <w:footerReference w:type="default" r:id="rId17"/>
          <w:pgSz w:w="12240" w:h="15840"/>
          <w:pgMar w:top="1440" w:right="1440" w:bottom="1440" w:left="1440" w:header="720" w:footer="720" w:gutter="0"/>
          <w:cols w:space="720"/>
          <w:docGrid w:linePitch="360"/>
        </w:sectPr>
      </w:pPr>
    </w:p>
    <w:p w:rsidR="00CB64B6" w:rsidRPr="0080251A" w:rsidRDefault="00CB64B6" w:rsidP="00CB64B6">
      <w:pPr>
        <w:rPr>
          <w:rFonts w:ascii="Calibri" w:hAnsi="Calibri"/>
          <w:lang w:val="en-029"/>
        </w:rPr>
      </w:pPr>
      <w:r>
        <w:rPr>
          <w:rFonts w:ascii="Calibri" w:hAnsi="Calibri"/>
          <w:noProof/>
        </w:rPr>
        <w:lastRenderedPageBreak/>
        <w:drawing>
          <wp:inline distT="0" distB="0" distL="0" distR="0">
            <wp:extent cx="7793650" cy="6035040"/>
            <wp:effectExtent l="19050" t="0" r="0" b="0"/>
            <wp:docPr id="5" name="Picture 3" descr="car_caribbeanchallenge map 7jun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_caribbeanchallenge map 7june11.jpg"/>
                    <pic:cNvPicPr/>
                  </pic:nvPicPr>
                  <pic:blipFill>
                    <a:blip r:embed="rId18" cstate="screen"/>
                    <a:stretch>
                      <a:fillRect/>
                    </a:stretch>
                  </pic:blipFill>
                  <pic:spPr>
                    <a:xfrm>
                      <a:off x="0" y="0"/>
                      <a:ext cx="7793650" cy="6035040"/>
                    </a:xfrm>
                    <a:prstGeom prst="rect">
                      <a:avLst/>
                    </a:prstGeom>
                  </pic:spPr>
                </pic:pic>
              </a:graphicData>
            </a:graphic>
          </wp:inline>
        </w:drawing>
      </w:r>
    </w:p>
    <w:p w:rsidR="00CB64B6" w:rsidRPr="00917B65" w:rsidRDefault="00CB64B6" w:rsidP="00CB64B6">
      <w:pPr>
        <w:pStyle w:val="Caption"/>
        <w:rPr>
          <w:rFonts w:ascii="Calibri" w:hAnsi="Calibri"/>
          <w:lang w:val="en-029"/>
        </w:rPr>
      </w:pPr>
      <w:r>
        <w:t xml:space="preserve">Figure </w:t>
      </w:r>
      <w:fldSimple w:instr=" SEQ Figure \* ARABIC ">
        <w:r>
          <w:rPr>
            <w:noProof/>
          </w:rPr>
          <w:t>1</w:t>
        </w:r>
      </w:fldSimple>
      <w:r>
        <w:t>: Countries (including their Exclusive Economic Zones) participating in the Caribbean Challenge</w:t>
      </w:r>
    </w:p>
    <w:p w:rsidR="00CB64B6" w:rsidRDefault="00CB64B6" w:rsidP="00F9702A">
      <w:pPr>
        <w:rPr>
          <w:lang w:val="en-029"/>
        </w:rPr>
        <w:sectPr w:rsidR="00CB64B6" w:rsidSect="00877283">
          <w:pgSz w:w="15840" w:h="12240" w:orient="landscape"/>
          <w:pgMar w:top="720" w:right="720" w:bottom="720" w:left="720" w:header="720" w:footer="720" w:gutter="0"/>
          <w:cols w:space="720"/>
          <w:docGrid w:linePitch="360"/>
        </w:sectPr>
      </w:pPr>
    </w:p>
    <w:p w:rsidR="00CB64B6" w:rsidRPr="00F9702A" w:rsidRDefault="00CB64B6" w:rsidP="00F9702A">
      <w:pPr>
        <w:rPr>
          <w:lang w:val="en-029"/>
        </w:rPr>
      </w:pPr>
    </w:p>
    <w:p w:rsidR="00764A97" w:rsidRPr="00917B65" w:rsidRDefault="00F9702A" w:rsidP="007B3361">
      <w:pPr>
        <w:pStyle w:val="Heading2"/>
        <w:rPr>
          <w:lang w:val="en-029"/>
        </w:rPr>
      </w:pPr>
      <w:bookmarkStart w:id="4" w:name="_Toc295219019"/>
      <w:r>
        <w:rPr>
          <w:lang w:val="en-029"/>
        </w:rPr>
        <w:t xml:space="preserve">Caribbean Challenge Initiative </w:t>
      </w:r>
      <w:r w:rsidR="00243A13">
        <w:rPr>
          <w:lang w:val="en-029"/>
        </w:rPr>
        <w:t xml:space="preserve">(CCI) </w:t>
      </w:r>
      <w:r w:rsidR="00D11F1E">
        <w:rPr>
          <w:lang w:val="en-029"/>
        </w:rPr>
        <w:t>O</w:t>
      </w:r>
      <w:r w:rsidR="00764A97" w:rsidRPr="00917B65">
        <w:rPr>
          <w:lang w:val="en-029"/>
        </w:rPr>
        <w:t>verview and Strategies</w:t>
      </w:r>
      <w:bookmarkEnd w:id="4"/>
    </w:p>
    <w:p w:rsidR="00F01306" w:rsidRPr="00F01306" w:rsidRDefault="00AA6A63" w:rsidP="00F01306">
      <w:pPr>
        <w:rPr>
          <w:rFonts w:ascii="Calibri" w:hAnsi="Calibri"/>
        </w:rPr>
      </w:pPr>
      <w:r w:rsidRPr="00917B65">
        <w:rPr>
          <w:rFonts w:ascii="Calibri" w:hAnsi="Calibri"/>
          <w:lang w:val="en-029"/>
        </w:rPr>
        <w:t xml:space="preserve">The </w:t>
      </w:r>
      <w:r w:rsidR="00F9702A">
        <w:rPr>
          <w:rFonts w:ascii="Calibri" w:hAnsi="Calibri"/>
          <w:lang w:val="en-029"/>
        </w:rPr>
        <w:t xml:space="preserve">Caribbean Challenge Initiative </w:t>
      </w:r>
      <w:r w:rsidRPr="00917B65">
        <w:rPr>
          <w:rFonts w:ascii="Calibri" w:hAnsi="Calibri"/>
          <w:lang w:val="en-029"/>
        </w:rPr>
        <w:t xml:space="preserve">is a joint </w:t>
      </w:r>
      <w:r w:rsidR="00F01306">
        <w:rPr>
          <w:rFonts w:ascii="Calibri" w:hAnsi="Calibri"/>
          <w:lang w:val="en-029"/>
        </w:rPr>
        <w:t>effort</w:t>
      </w:r>
      <w:r w:rsidRPr="00917B65">
        <w:rPr>
          <w:rFonts w:ascii="Calibri" w:hAnsi="Calibri"/>
          <w:lang w:val="en-029"/>
        </w:rPr>
        <w:t xml:space="preserve"> by regional governments, donors and conservation organisations to build political support and generate long-term funding to protect at least 20 percent of participating countries’ marine and coastal </w:t>
      </w:r>
      <w:r w:rsidR="00003001">
        <w:rPr>
          <w:rFonts w:ascii="Calibri" w:hAnsi="Calibri"/>
          <w:lang w:val="en-029"/>
        </w:rPr>
        <w:t>areas</w:t>
      </w:r>
      <w:r w:rsidR="00003001" w:rsidRPr="00917B65">
        <w:rPr>
          <w:rFonts w:ascii="Calibri" w:hAnsi="Calibri"/>
          <w:lang w:val="en-029"/>
        </w:rPr>
        <w:t xml:space="preserve"> </w:t>
      </w:r>
      <w:r w:rsidRPr="00917B65">
        <w:rPr>
          <w:rFonts w:ascii="Calibri" w:hAnsi="Calibri"/>
          <w:lang w:val="en-029"/>
        </w:rPr>
        <w:t>by 2020.</w:t>
      </w:r>
      <w:r w:rsidRPr="00917B65">
        <w:rPr>
          <w:rFonts w:ascii="Calibri" w:hAnsi="Calibri" w:cs="Oakleaf-Roman"/>
          <w:color w:val="000000"/>
          <w:lang w:val="en-029"/>
        </w:rPr>
        <w:t xml:space="preserve"> </w:t>
      </w:r>
      <w:r w:rsidR="00F01306" w:rsidRPr="00F01306">
        <w:rPr>
          <w:rFonts w:ascii="Calibri" w:hAnsi="Calibri"/>
        </w:rPr>
        <w:t xml:space="preserve">Under the </w:t>
      </w:r>
      <w:r w:rsidR="00F01306">
        <w:rPr>
          <w:rFonts w:ascii="Calibri" w:hAnsi="Calibri"/>
        </w:rPr>
        <w:t>Initiative</w:t>
      </w:r>
      <w:r w:rsidR="00F01306" w:rsidRPr="00F01306">
        <w:rPr>
          <w:rFonts w:ascii="Calibri" w:hAnsi="Calibri"/>
        </w:rPr>
        <w:t>,</w:t>
      </w:r>
      <w:r w:rsidR="00F01306">
        <w:rPr>
          <w:rFonts w:ascii="Calibri" w:hAnsi="Calibri"/>
        </w:rPr>
        <w:t xml:space="preserve"> these</w:t>
      </w:r>
      <w:r w:rsidR="00F01306" w:rsidRPr="00F01306">
        <w:rPr>
          <w:rFonts w:ascii="Calibri" w:hAnsi="Calibri"/>
          <w:u w:val="single"/>
        </w:rPr>
        <w:t xml:space="preserve"> </w:t>
      </w:r>
      <w:r w:rsidR="00F01306" w:rsidRPr="00F518ED">
        <w:rPr>
          <w:rFonts w:ascii="Calibri" w:hAnsi="Calibri"/>
        </w:rPr>
        <w:t>governments have committed</w:t>
      </w:r>
      <w:r w:rsidR="00F01306" w:rsidRPr="00F01306">
        <w:rPr>
          <w:rFonts w:ascii="Calibri" w:hAnsi="Calibri"/>
          <w:u w:val="single"/>
        </w:rPr>
        <w:t xml:space="preserve"> </w:t>
      </w:r>
      <w:r w:rsidR="00F01306" w:rsidRPr="00F518ED">
        <w:rPr>
          <w:rFonts w:ascii="Calibri" w:hAnsi="Calibri"/>
          <w:i/>
        </w:rPr>
        <w:t>to protect at least 20% of their near-shore marine / coastal environment by 2020, through comprehensive national systems of marine and coastal protected areas.</w:t>
      </w:r>
      <w:r w:rsidR="00F01306" w:rsidRPr="00F01306">
        <w:rPr>
          <w:rFonts w:ascii="Calibri" w:hAnsi="Calibri"/>
        </w:rPr>
        <w:t xml:space="preserve">   </w:t>
      </w:r>
    </w:p>
    <w:p w:rsidR="00F01306" w:rsidRPr="00F01306" w:rsidRDefault="00F01306" w:rsidP="00F01306">
      <w:pPr>
        <w:rPr>
          <w:rFonts w:ascii="Calibri" w:hAnsi="Calibri"/>
        </w:rPr>
      </w:pPr>
      <w:r w:rsidRPr="00F01306">
        <w:rPr>
          <w:rFonts w:ascii="Calibri" w:hAnsi="Calibri"/>
        </w:rPr>
        <w:t xml:space="preserve">Toward achieving this 20% target, these countries have also agreed on two objectives: </w:t>
      </w:r>
    </w:p>
    <w:p w:rsidR="00F01306" w:rsidRPr="00F01306" w:rsidRDefault="00F01306" w:rsidP="00F01306">
      <w:pPr>
        <w:numPr>
          <w:ilvl w:val="0"/>
          <w:numId w:val="19"/>
        </w:numPr>
        <w:rPr>
          <w:rFonts w:ascii="Calibri" w:hAnsi="Calibri"/>
        </w:rPr>
      </w:pPr>
      <w:r w:rsidRPr="00F01306">
        <w:rPr>
          <w:rFonts w:ascii="Calibri" w:hAnsi="Calibri"/>
        </w:rPr>
        <w:t xml:space="preserve">to put in place an innovative, </w:t>
      </w:r>
      <w:r w:rsidRPr="00F518ED">
        <w:rPr>
          <w:rFonts w:ascii="Calibri" w:hAnsi="Calibri"/>
          <w:i/>
        </w:rPr>
        <w:t xml:space="preserve">new financial architecture that will secure </w:t>
      </w:r>
      <w:r w:rsidRPr="00F518ED">
        <w:rPr>
          <w:rFonts w:ascii="Calibri" w:hAnsi="Calibri"/>
          <w:i/>
          <w:iCs/>
        </w:rPr>
        <w:t>sustainable funding</w:t>
      </w:r>
      <w:r w:rsidRPr="00F01306">
        <w:rPr>
          <w:rFonts w:ascii="Calibri" w:hAnsi="Calibri"/>
          <w:i/>
          <w:iCs/>
        </w:rPr>
        <w:t xml:space="preserve"> </w:t>
      </w:r>
      <w:r w:rsidRPr="00F01306">
        <w:rPr>
          <w:rFonts w:ascii="Calibri" w:hAnsi="Calibri"/>
        </w:rPr>
        <w:t>for their protected area systems (i.e. reliable, long-term sources of dedicated funding)</w:t>
      </w:r>
    </w:p>
    <w:p w:rsidR="00F01306" w:rsidRPr="00F01306" w:rsidRDefault="00F01306" w:rsidP="00F01306">
      <w:pPr>
        <w:numPr>
          <w:ilvl w:val="0"/>
          <w:numId w:val="19"/>
        </w:numPr>
        <w:rPr>
          <w:rFonts w:ascii="Calibri" w:hAnsi="Calibri"/>
        </w:rPr>
      </w:pPr>
      <w:r w:rsidRPr="00F01306">
        <w:rPr>
          <w:rFonts w:ascii="Calibri" w:hAnsi="Calibri"/>
        </w:rPr>
        <w:t xml:space="preserve">to take actions that will help ecosystems and coastal communities adapt to climate change—an approach known </w:t>
      </w:r>
      <w:r w:rsidRPr="00F518ED">
        <w:rPr>
          <w:rFonts w:ascii="Calibri" w:hAnsi="Calibri"/>
        </w:rPr>
        <w:t>as “</w:t>
      </w:r>
      <w:r w:rsidRPr="00F518ED">
        <w:rPr>
          <w:rFonts w:ascii="Calibri" w:hAnsi="Calibri"/>
          <w:i/>
        </w:rPr>
        <w:t>ecosystem-based adaptation</w:t>
      </w:r>
      <w:r w:rsidRPr="00F518ED">
        <w:rPr>
          <w:rFonts w:ascii="Calibri" w:hAnsi="Calibri"/>
        </w:rPr>
        <w:t>”</w:t>
      </w:r>
    </w:p>
    <w:p w:rsidR="0080251A" w:rsidRDefault="0080251A" w:rsidP="00196A0C">
      <w:pPr>
        <w:rPr>
          <w:rFonts w:ascii="Calibri" w:hAnsi="Calibri"/>
          <w:lang w:val="en-029"/>
        </w:rPr>
      </w:pPr>
    </w:p>
    <w:p w:rsidR="00196A0C" w:rsidRDefault="00196A0C" w:rsidP="00196A0C">
      <w:pPr>
        <w:rPr>
          <w:rFonts w:ascii="Calibri" w:hAnsi="Calibri"/>
        </w:rPr>
      </w:pPr>
      <w:r w:rsidRPr="0080251A">
        <w:rPr>
          <w:rFonts w:ascii="Calibri" w:hAnsi="Calibri"/>
          <w:lang w:val="en-029"/>
        </w:rPr>
        <w:t xml:space="preserve">Eight sovereign Caribbean nations - Antigua &amp; Barbuda, The Bahamas, The Dominican Republic, Grenada, Jamaica, St. Kitts &amp; Nevis, </w:t>
      </w:r>
      <w:r w:rsidR="00243A13" w:rsidRPr="0080251A">
        <w:rPr>
          <w:rFonts w:ascii="Calibri" w:hAnsi="Calibri"/>
          <w:lang w:val="en-029"/>
        </w:rPr>
        <w:t xml:space="preserve">St. Lucia, </w:t>
      </w:r>
      <w:r w:rsidRPr="0080251A">
        <w:rPr>
          <w:rFonts w:ascii="Calibri" w:hAnsi="Calibri"/>
          <w:lang w:val="en-029"/>
        </w:rPr>
        <w:t xml:space="preserve">and St. Vincent and the Grenadines- and </w:t>
      </w:r>
      <w:r w:rsidR="00243A13" w:rsidRPr="0080251A">
        <w:rPr>
          <w:rFonts w:ascii="Calibri" w:hAnsi="Calibri"/>
          <w:lang w:val="en-029"/>
        </w:rPr>
        <w:t>T</w:t>
      </w:r>
      <w:r w:rsidRPr="0080251A">
        <w:rPr>
          <w:rFonts w:ascii="Calibri" w:hAnsi="Calibri"/>
          <w:lang w:val="en-029"/>
        </w:rPr>
        <w:t xml:space="preserve">he Conservancy are actively engaging in the first phase of the Caribbean Challenge Initiative laying the groundwork for sustainable funding and </w:t>
      </w:r>
      <w:r w:rsidR="0080251A" w:rsidRPr="0080251A">
        <w:rPr>
          <w:rFonts w:ascii="Calibri" w:hAnsi="Calibri"/>
          <w:lang w:val="en-029"/>
        </w:rPr>
        <w:t>conservation actions</w:t>
      </w:r>
      <w:r w:rsidRPr="0080251A">
        <w:rPr>
          <w:rFonts w:ascii="Calibri" w:hAnsi="Calibri"/>
          <w:lang w:val="en-029"/>
        </w:rPr>
        <w:t xml:space="preserve">. </w:t>
      </w:r>
      <w:r w:rsidRPr="0080251A">
        <w:rPr>
          <w:rFonts w:ascii="Calibri" w:hAnsi="Calibri"/>
        </w:rPr>
        <w:t xml:space="preserve">TNC has played an instrumental role in catalyzing the CCI, and continues to play a key coordination and support role. Other countries and territories (e.g. Cayman Islands) are starting to express an interest in joining this effort. </w:t>
      </w:r>
      <w:r w:rsidR="00C83482" w:rsidRPr="0080251A">
        <w:rPr>
          <w:rFonts w:ascii="Calibri" w:hAnsi="Calibri"/>
        </w:rPr>
        <w:t>There is therefore potential for</w:t>
      </w:r>
      <w:r w:rsidRPr="0080251A">
        <w:rPr>
          <w:rFonts w:ascii="Calibri" w:hAnsi="Calibri"/>
        </w:rPr>
        <w:t xml:space="preserve"> </w:t>
      </w:r>
      <w:r w:rsidRPr="0080251A">
        <w:rPr>
          <w:rFonts w:ascii="Calibri" w:hAnsi="Calibri"/>
          <w:iCs/>
        </w:rPr>
        <w:t>all</w:t>
      </w:r>
      <w:r w:rsidRPr="0080251A">
        <w:rPr>
          <w:rFonts w:ascii="Calibri" w:hAnsi="Calibri"/>
        </w:rPr>
        <w:t xml:space="preserve"> of the countries and territories in the Insular Caribbean to eventually join this initiative.</w:t>
      </w:r>
    </w:p>
    <w:p w:rsidR="006A6442" w:rsidRPr="006A6442" w:rsidRDefault="006A6442" w:rsidP="006A6442">
      <w:pPr>
        <w:spacing w:line="240" w:lineRule="auto"/>
      </w:pPr>
      <w:r w:rsidRPr="00EC430A">
        <w:rPr>
          <w:rFonts w:ascii="Calibri" w:hAnsi="Calibri"/>
          <w:highlight w:val="yellow"/>
          <w:lang w:val="en-029"/>
        </w:rPr>
        <w:t>T</w:t>
      </w:r>
      <w:r w:rsidR="00EC430A" w:rsidRPr="00EC430A">
        <w:rPr>
          <w:rFonts w:ascii="Calibri" w:hAnsi="Calibri"/>
          <w:highlight w:val="yellow"/>
          <w:lang w:val="en-029"/>
        </w:rPr>
        <w:t xml:space="preserve">NC’s goal for the </w:t>
      </w:r>
      <w:commentRangeStart w:id="5"/>
      <w:r w:rsidR="00EC430A" w:rsidRPr="00EC430A">
        <w:rPr>
          <w:rFonts w:ascii="Calibri" w:hAnsi="Calibri"/>
          <w:highlight w:val="yellow"/>
          <w:lang w:val="en-029"/>
        </w:rPr>
        <w:t>CCI</w:t>
      </w:r>
      <w:commentRangeEnd w:id="5"/>
      <w:r w:rsidR="00EC430A">
        <w:rPr>
          <w:rStyle w:val="CommentReference"/>
        </w:rPr>
        <w:commentReference w:id="5"/>
      </w:r>
      <w:r w:rsidR="00EC430A">
        <w:rPr>
          <w:rFonts w:ascii="Calibri" w:hAnsi="Calibri"/>
          <w:lang w:val="en-029"/>
        </w:rPr>
        <w:t xml:space="preserve"> </w:t>
      </w:r>
      <w:r>
        <w:rPr>
          <w:rFonts w:ascii="Calibri" w:hAnsi="Calibri"/>
          <w:lang w:val="en-029"/>
        </w:rPr>
        <w:t xml:space="preserve">is to </w:t>
      </w:r>
      <w:r>
        <w:rPr>
          <w:b/>
        </w:rPr>
        <w:t>increase the p</w:t>
      </w:r>
      <w:r w:rsidRPr="00D2570C">
        <w:rPr>
          <w:b/>
        </w:rPr>
        <w:t>rotect</w:t>
      </w:r>
      <w:r>
        <w:rPr>
          <w:b/>
        </w:rPr>
        <w:t>ion of</w:t>
      </w:r>
      <w:r w:rsidRPr="00D2570C">
        <w:rPr>
          <w:b/>
        </w:rPr>
        <w:t xml:space="preserve"> biodiversity and </w:t>
      </w:r>
      <w:r w:rsidR="00066BDB">
        <w:rPr>
          <w:b/>
        </w:rPr>
        <w:t>safeguard</w:t>
      </w:r>
      <w:r>
        <w:rPr>
          <w:b/>
        </w:rPr>
        <w:t xml:space="preserve"> </w:t>
      </w:r>
      <w:r w:rsidRPr="00D2570C">
        <w:rPr>
          <w:b/>
        </w:rPr>
        <w:t>human livelihoods across the Caribbean through sustainably managed protected area systems that are resilient to climate change and degradation.</w:t>
      </w:r>
      <w:r>
        <w:rPr>
          <w:b/>
        </w:rPr>
        <w:t xml:space="preserve"> </w:t>
      </w:r>
      <w:r>
        <w:t xml:space="preserve"> This will be achieved through the following strategies:</w:t>
      </w:r>
    </w:p>
    <w:p w:rsidR="006A6442" w:rsidRDefault="00CC6075" w:rsidP="006A6442">
      <w:pPr>
        <w:pStyle w:val="ListParagraph"/>
        <w:numPr>
          <w:ilvl w:val="0"/>
          <w:numId w:val="4"/>
        </w:numPr>
        <w:spacing w:after="0" w:line="240" w:lineRule="auto"/>
      </w:pPr>
      <w:r>
        <w:t>B</w:t>
      </w:r>
      <w:r w:rsidRPr="00D2570C">
        <w:t>y 2020</w:t>
      </w:r>
      <w:r>
        <w:t>, c</w:t>
      </w:r>
      <w:r w:rsidR="006A6442" w:rsidRPr="00D2570C">
        <w:t xml:space="preserve">onserve </w:t>
      </w:r>
      <w:r w:rsidR="00E809F7">
        <w:t xml:space="preserve">(or make significant progress towards conserving) </w:t>
      </w:r>
      <w:r w:rsidR="006A6442" w:rsidRPr="00D2570C">
        <w:t xml:space="preserve">at least 20% of the Caribbean’s coastal </w:t>
      </w:r>
      <w:r w:rsidR="00003001">
        <w:t xml:space="preserve">and </w:t>
      </w:r>
      <w:r w:rsidR="006A6442" w:rsidRPr="00D2570C">
        <w:t xml:space="preserve">marine habitat </w:t>
      </w:r>
      <w:r w:rsidR="006A6442">
        <w:t>in effectively managed protected areas</w:t>
      </w:r>
      <w:r w:rsidR="00EC430A">
        <w:rPr>
          <w:rStyle w:val="FootnoteReference"/>
        </w:rPr>
        <w:footnoteReference w:id="1"/>
      </w:r>
      <w:r w:rsidR="00EC430A">
        <w:t xml:space="preserve"> across participating countries</w:t>
      </w:r>
      <w:r w:rsidR="006A6442">
        <w:t>.</w:t>
      </w:r>
    </w:p>
    <w:p w:rsidR="006A6442" w:rsidRDefault="006A6442" w:rsidP="006A6442">
      <w:pPr>
        <w:pStyle w:val="ListParagraph"/>
        <w:numPr>
          <w:ilvl w:val="0"/>
          <w:numId w:val="4"/>
        </w:numPr>
        <w:spacing w:after="0" w:line="240" w:lineRule="auto"/>
      </w:pPr>
      <w:r w:rsidRPr="00D1229B">
        <w:rPr>
          <w:bCs/>
        </w:rPr>
        <w:t xml:space="preserve">By 2015, </w:t>
      </w:r>
      <w:r>
        <w:rPr>
          <w:bCs/>
        </w:rPr>
        <w:t>create</w:t>
      </w:r>
      <w:r w:rsidRPr="00D1229B">
        <w:rPr>
          <w:bCs/>
        </w:rPr>
        <w:t xml:space="preserve"> dedicated</w:t>
      </w:r>
      <w:r w:rsidR="00004648">
        <w:rPr>
          <w:bCs/>
        </w:rPr>
        <w:t xml:space="preserve"> and</w:t>
      </w:r>
      <w:r w:rsidRPr="00D1229B">
        <w:rPr>
          <w:bCs/>
        </w:rPr>
        <w:t xml:space="preserve"> permanent funding for Caribbean protected area systems</w:t>
      </w:r>
      <w:r w:rsidRPr="00D2570C">
        <w:rPr>
          <w:b/>
          <w:bCs/>
        </w:rPr>
        <w:t xml:space="preserve"> </w:t>
      </w:r>
      <w:r w:rsidRPr="00D2570C">
        <w:t xml:space="preserve">through the establishment of Protected Areas Trust Funds and the creation of </w:t>
      </w:r>
      <w:r w:rsidRPr="00D1229B">
        <w:rPr>
          <w:i/>
        </w:rPr>
        <w:t>new</w:t>
      </w:r>
      <w:r w:rsidRPr="00D2570C">
        <w:t xml:space="preserve"> </w:t>
      </w:r>
      <w:r>
        <w:t>s</w:t>
      </w:r>
      <w:r w:rsidRPr="00D2570C">
        <w:t>ustainable finance mechanisms.</w:t>
      </w:r>
    </w:p>
    <w:p w:rsidR="0041612A" w:rsidRPr="00CC6075" w:rsidRDefault="006A6442" w:rsidP="00CC6075">
      <w:pPr>
        <w:pStyle w:val="ListParagraph"/>
        <w:numPr>
          <w:ilvl w:val="0"/>
          <w:numId w:val="4"/>
        </w:numPr>
        <w:rPr>
          <w:rFonts w:ascii="Calibri" w:hAnsi="Calibri"/>
          <w:lang w:val="en-029"/>
        </w:rPr>
      </w:pPr>
      <w:r w:rsidRPr="00D2570C">
        <w:t>By 2015</w:t>
      </w:r>
      <w:r>
        <w:t>,</w:t>
      </w:r>
      <w:r w:rsidRPr="00D2570C">
        <w:t xml:space="preserve"> develop </w:t>
      </w:r>
      <w:r w:rsidR="00004648">
        <w:t>projects focused on</w:t>
      </w:r>
      <w:r w:rsidRPr="00D2570C">
        <w:t xml:space="preserve"> ecosystem-based adaptation </w:t>
      </w:r>
      <w:r>
        <w:t xml:space="preserve">to climate change </w:t>
      </w:r>
      <w:r w:rsidRPr="00D2570C">
        <w:t>and tools to protect key threatened habitats and livelihoods.</w:t>
      </w:r>
    </w:p>
    <w:p w:rsidR="007B3361" w:rsidRPr="00917B65" w:rsidRDefault="007B3361" w:rsidP="00D11F1E">
      <w:pPr>
        <w:rPr>
          <w:lang w:val="en-029"/>
        </w:rPr>
      </w:pPr>
    </w:p>
    <w:p w:rsidR="00A21108" w:rsidRPr="00917B65" w:rsidRDefault="00A21108" w:rsidP="007B3361">
      <w:pPr>
        <w:pStyle w:val="Heading2"/>
        <w:rPr>
          <w:lang w:val="en-029"/>
        </w:rPr>
      </w:pPr>
      <w:bookmarkStart w:id="6" w:name="_Toc295219020"/>
      <w:r w:rsidRPr="00917B65">
        <w:rPr>
          <w:lang w:val="en-029"/>
        </w:rPr>
        <w:lastRenderedPageBreak/>
        <w:t xml:space="preserve">Rationale for </w:t>
      </w:r>
      <w:r w:rsidR="00EC430A">
        <w:rPr>
          <w:lang w:val="en-029"/>
        </w:rPr>
        <w:t xml:space="preserve">CCI </w:t>
      </w:r>
      <w:r w:rsidRPr="00917B65">
        <w:rPr>
          <w:lang w:val="en-029"/>
        </w:rPr>
        <w:t>Measures</w:t>
      </w:r>
      <w:bookmarkEnd w:id="6"/>
    </w:p>
    <w:p w:rsidR="00E91E95" w:rsidRDefault="00E91E95" w:rsidP="00E91E95">
      <w:pPr>
        <w:rPr>
          <w:lang w:val="en-029"/>
        </w:rPr>
      </w:pPr>
      <w:r>
        <w:rPr>
          <w:lang w:val="en-029"/>
        </w:rPr>
        <w:t xml:space="preserve">Quantifying the return on </w:t>
      </w:r>
      <w:r w:rsidRPr="00917B65">
        <w:rPr>
          <w:lang w:val="en-029"/>
        </w:rPr>
        <w:t xml:space="preserve">time and resources invested in activities </w:t>
      </w:r>
      <w:r>
        <w:rPr>
          <w:lang w:val="en-029"/>
        </w:rPr>
        <w:t xml:space="preserve">and measuring </w:t>
      </w:r>
      <w:r w:rsidR="00892965" w:rsidRPr="00917B65">
        <w:rPr>
          <w:lang w:val="en-029"/>
        </w:rPr>
        <w:t xml:space="preserve">progress towards goals is </w:t>
      </w:r>
      <w:r w:rsidRPr="00917B65">
        <w:rPr>
          <w:lang w:val="en-029"/>
        </w:rPr>
        <w:t xml:space="preserve">a necessary and often mandatory process </w:t>
      </w:r>
      <w:r w:rsidR="003B5D6F">
        <w:rPr>
          <w:lang w:val="en-029"/>
        </w:rPr>
        <w:t>in the</w:t>
      </w:r>
      <w:r w:rsidRPr="00917B65">
        <w:rPr>
          <w:lang w:val="en-029"/>
        </w:rPr>
        <w:t xml:space="preserve"> business and </w:t>
      </w:r>
      <w:r w:rsidR="00EC430A">
        <w:rPr>
          <w:lang w:val="en-029"/>
        </w:rPr>
        <w:t xml:space="preserve">increasingly in the </w:t>
      </w:r>
      <w:r w:rsidRPr="00917B65">
        <w:rPr>
          <w:lang w:val="en-029"/>
        </w:rPr>
        <w:t>non-profit world</w:t>
      </w:r>
      <w:r w:rsidR="00892965" w:rsidRPr="00917B65">
        <w:rPr>
          <w:lang w:val="en-029"/>
        </w:rPr>
        <w:t xml:space="preserve">. </w:t>
      </w:r>
      <w:r w:rsidR="00C148F8" w:rsidRPr="00917B65">
        <w:rPr>
          <w:lang w:val="en-029"/>
        </w:rPr>
        <w:t xml:space="preserve">Also known as </w:t>
      </w:r>
      <w:r w:rsidR="00C148F8" w:rsidRPr="00917B65">
        <w:rPr>
          <w:bCs/>
          <w:lang w:val="en-029"/>
        </w:rPr>
        <w:t>results-based management</w:t>
      </w:r>
      <w:r w:rsidR="006C6797" w:rsidRPr="00917B65">
        <w:rPr>
          <w:bCs/>
          <w:lang w:val="en-029"/>
        </w:rPr>
        <w:t xml:space="preserve"> or</w:t>
      </w:r>
      <w:r w:rsidR="00C148F8" w:rsidRPr="00917B65">
        <w:rPr>
          <w:lang w:val="en-029"/>
        </w:rPr>
        <w:t xml:space="preserve"> </w:t>
      </w:r>
      <w:r w:rsidR="006C6797" w:rsidRPr="00917B65">
        <w:rPr>
          <w:lang w:val="en-029"/>
        </w:rPr>
        <w:t>adaptive management</w:t>
      </w:r>
      <w:r w:rsidR="003B5D6F">
        <w:rPr>
          <w:lang w:val="en-029"/>
        </w:rPr>
        <w:t>,</w:t>
      </w:r>
      <w:r w:rsidR="006C6797" w:rsidRPr="00917B65">
        <w:rPr>
          <w:lang w:val="en-029"/>
        </w:rPr>
        <w:t xml:space="preserve"> </w:t>
      </w:r>
      <w:r w:rsidR="00C148F8" w:rsidRPr="00917B65">
        <w:rPr>
          <w:lang w:val="en-029"/>
        </w:rPr>
        <w:t>this cycle of planning, implementation, evaluation and adaptation</w:t>
      </w:r>
      <w:r>
        <w:rPr>
          <w:lang w:val="en-029"/>
        </w:rPr>
        <w:t xml:space="preserve"> </w:t>
      </w:r>
      <w:r w:rsidR="006C6797" w:rsidRPr="00917B65">
        <w:rPr>
          <w:lang w:val="en-029"/>
        </w:rPr>
        <w:t>is an integral part of the Conservancy’s Conservation by Design approach</w:t>
      </w:r>
      <w:r>
        <w:rPr>
          <w:lang w:val="en-029"/>
        </w:rPr>
        <w:t xml:space="preserve">. </w:t>
      </w:r>
      <w:r w:rsidR="003B5D6F">
        <w:rPr>
          <w:lang w:val="en-029"/>
        </w:rPr>
        <w:t>T</w:t>
      </w:r>
      <w:r w:rsidR="006C6797" w:rsidRPr="00917B65">
        <w:rPr>
          <w:lang w:val="en-029"/>
        </w:rPr>
        <w:t xml:space="preserve">he effectiveness of conservation actions informs and guides future planning and strategy implementation. Recently, </w:t>
      </w:r>
      <w:r>
        <w:rPr>
          <w:lang w:val="en-029"/>
        </w:rPr>
        <w:t xml:space="preserve">the </w:t>
      </w:r>
      <w:r w:rsidR="006C6797" w:rsidRPr="00917B65">
        <w:rPr>
          <w:lang w:val="en-029"/>
        </w:rPr>
        <w:t xml:space="preserve">‘measures’ </w:t>
      </w:r>
      <w:r>
        <w:rPr>
          <w:lang w:val="en-029"/>
        </w:rPr>
        <w:t xml:space="preserve">component of this cycle </w:t>
      </w:r>
      <w:r w:rsidR="006C6797" w:rsidRPr="00917B65">
        <w:rPr>
          <w:lang w:val="en-029"/>
        </w:rPr>
        <w:t>received a further boost at TNC with the development of a</w:t>
      </w:r>
      <w:r w:rsidR="00066BDB">
        <w:rPr>
          <w:lang w:val="en-029"/>
        </w:rPr>
        <w:t>n organizational wide</w:t>
      </w:r>
      <w:r w:rsidR="006C6797" w:rsidRPr="00917B65">
        <w:rPr>
          <w:lang w:val="en-029"/>
        </w:rPr>
        <w:t xml:space="preserve"> measures </w:t>
      </w:r>
      <w:r w:rsidR="00C410B8" w:rsidRPr="00917B65">
        <w:rPr>
          <w:lang w:val="en-029"/>
        </w:rPr>
        <w:t>business</w:t>
      </w:r>
      <w:r w:rsidR="006C6797" w:rsidRPr="00917B65">
        <w:rPr>
          <w:lang w:val="en-029"/>
        </w:rPr>
        <w:t xml:space="preserve"> plan with the following aims for </w:t>
      </w:r>
      <w:r w:rsidR="00892965" w:rsidRPr="00917B65">
        <w:rPr>
          <w:lang w:val="en-029"/>
        </w:rPr>
        <w:t xml:space="preserve">FY11 and </w:t>
      </w:r>
      <w:r>
        <w:rPr>
          <w:lang w:val="en-029"/>
        </w:rPr>
        <w:t>FY</w:t>
      </w:r>
      <w:r w:rsidR="00892965" w:rsidRPr="00917B65">
        <w:rPr>
          <w:lang w:val="en-029"/>
        </w:rPr>
        <w:t xml:space="preserve">12: </w:t>
      </w:r>
    </w:p>
    <w:p w:rsidR="00E91E95" w:rsidRPr="00E91E95" w:rsidRDefault="00C148F8" w:rsidP="00E91E95">
      <w:pPr>
        <w:pStyle w:val="ListParagraph"/>
        <w:numPr>
          <w:ilvl w:val="0"/>
          <w:numId w:val="16"/>
        </w:numPr>
        <w:rPr>
          <w:lang w:val="en-029"/>
        </w:rPr>
      </w:pPr>
      <w:r w:rsidRPr="00E91E95">
        <w:rPr>
          <w:lang w:val="en-029"/>
        </w:rPr>
        <w:t>By June 2012, all Regions and Global Teams have the capacity and processes needed to evaluate the effectiveness of Priority Projects and Strategies, can report on progress toward intended results, and are actively using results in an adaptive management fashion</w:t>
      </w:r>
      <w:r w:rsidR="00586237" w:rsidRPr="00586237">
        <w:rPr>
          <w:vertAlign w:val="superscript"/>
          <w:lang w:val="en-029"/>
        </w:rPr>
        <w:t>1</w:t>
      </w:r>
      <w:r w:rsidRPr="00E91E95">
        <w:rPr>
          <w:lang w:val="en-029"/>
        </w:rPr>
        <w:t xml:space="preserve"> to improve conservation </w:t>
      </w:r>
      <w:r w:rsidR="00004648">
        <w:rPr>
          <w:lang w:val="en-029"/>
        </w:rPr>
        <w:t>Return-on-Investment (</w:t>
      </w:r>
      <w:r w:rsidRPr="00E91E95">
        <w:rPr>
          <w:lang w:val="en-029"/>
        </w:rPr>
        <w:t>ROI</w:t>
      </w:r>
      <w:r w:rsidR="00004648">
        <w:rPr>
          <w:lang w:val="en-029"/>
        </w:rPr>
        <w:t>)</w:t>
      </w:r>
      <w:r w:rsidRPr="00E91E95">
        <w:rPr>
          <w:lang w:val="en-029"/>
        </w:rPr>
        <w:t xml:space="preserve">. </w:t>
      </w:r>
    </w:p>
    <w:p w:rsidR="00E91E95" w:rsidRPr="00E91E95" w:rsidRDefault="00C148F8" w:rsidP="00E91E95">
      <w:pPr>
        <w:pStyle w:val="ListParagraph"/>
        <w:numPr>
          <w:ilvl w:val="0"/>
          <w:numId w:val="16"/>
        </w:numPr>
        <w:rPr>
          <w:lang w:val="en-029"/>
        </w:rPr>
      </w:pPr>
      <w:r w:rsidRPr="00E91E95">
        <w:rPr>
          <w:lang w:val="en-029"/>
        </w:rPr>
        <w:t xml:space="preserve">50% of Priority Projects and Strategies are able to measure progress towards long-term conservation outcomes. </w:t>
      </w:r>
    </w:p>
    <w:p w:rsidR="00942B25" w:rsidRDefault="006C6797" w:rsidP="00E91E95">
      <w:pPr>
        <w:rPr>
          <w:lang w:val="en-029"/>
        </w:rPr>
      </w:pPr>
      <w:r w:rsidRPr="00917B65">
        <w:rPr>
          <w:lang w:val="en-029"/>
        </w:rPr>
        <w:t>Considering the geographical, programmatic</w:t>
      </w:r>
      <w:r w:rsidR="003B5D6F">
        <w:rPr>
          <w:lang w:val="en-029"/>
        </w:rPr>
        <w:t>,</w:t>
      </w:r>
      <w:r w:rsidRPr="00917B65">
        <w:rPr>
          <w:lang w:val="en-029"/>
        </w:rPr>
        <w:t xml:space="preserve"> and financial </w:t>
      </w:r>
      <w:r w:rsidR="00EC430A">
        <w:rPr>
          <w:lang w:val="en-029"/>
        </w:rPr>
        <w:t>scope of the CCI</w:t>
      </w:r>
      <w:r w:rsidRPr="00917B65">
        <w:rPr>
          <w:lang w:val="en-029"/>
        </w:rPr>
        <w:t xml:space="preserve">, it is imperative to consistently and continually measure the effectiveness </w:t>
      </w:r>
      <w:r w:rsidR="00DA0C15">
        <w:rPr>
          <w:lang w:val="en-029"/>
        </w:rPr>
        <w:t>and</w:t>
      </w:r>
      <w:r w:rsidR="00DA0C15" w:rsidRPr="00917B65">
        <w:rPr>
          <w:lang w:val="en-029"/>
        </w:rPr>
        <w:t xml:space="preserve"> </w:t>
      </w:r>
      <w:r w:rsidRPr="00917B65">
        <w:rPr>
          <w:lang w:val="en-029"/>
        </w:rPr>
        <w:t xml:space="preserve">implementation </w:t>
      </w:r>
      <w:r w:rsidR="00DA0C15">
        <w:rPr>
          <w:lang w:val="en-029"/>
        </w:rPr>
        <w:t xml:space="preserve">success </w:t>
      </w:r>
      <w:r w:rsidRPr="00917B65">
        <w:rPr>
          <w:lang w:val="en-029"/>
        </w:rPr>
        <w:t>on biodiversity</w:t>
      </w:r>
      <w:r w:rsidR="00755730">
        <w:rPr>
          <w:lang w:val="en-029"/>
        </w:rPr>
        <w:t>,</w:t>
      </w:r>
      <w:r w:rsidRPr="00917B65">
        <w:rPr>
          <w:lang w:val="en-029"/>
        </w:rPr>
        <w:t xml:space="preserve"> people and institutions we work with. </w:t>
      </w:r>
      <w:r w:rsidR="00CC6075">
        <w:rPr>
          <w:lang w:val="en-029"/>
        </w:rPr>
        <w:t xml:space="preserve">There is a lot at stake: </w:t>
      </w:r>
      <w:r w:rsidRPr="00917B65">
        <w:rPr>
          <w:lang w:val="en-029"/>
        </w:rPr>
        <w:t>million</w:t>
      </w:r>
      <w:r w:rsidR="00DA0C15">
        <w:rPr>
          <w:lang w:val="en-029"/>
        </w:rPr>
        <w:t>s</w:t>
      </w:r>
      <w:r w:rsidRPr="00917B65">
        <w:rPr>
          <w:lang w:val="en-029"/>
        </w:rPr>
        <w:t xml:space="preserve"> </w:t>
      </w:r>
      <w:r w:rsidR="00DA0C15">
        <w:rPr>
          <w:lang w:val="en-029"/>
        </w:rPr>
        <w:t>of</w:t>
      </w:r>
      <w:r w:rsidRPr="00917B65">
        <w:rPr>
          <w:lang w:val="en-029"/>
        </w:rPr>
        <w:t xml:space="preserve"> dollars, </w:t>
      </w:r>
      <w:r w:rsidR="00A84ED7" w:rsidRPr="00942B25">
        <w:rPr>
          <w:lang w:val="en-029"/>
        </w:rPr>
        <w:t>36</w:t>
      </w:r>
      <w:r w:rsidR="00A84ED7" w:rsidRPr="00917B65">
        <w:rPr>
          <w:lang w:val="en-029"/>
        </w:rPr>
        <w:t xml:space="preserve"> years of </w:t>
      </w:r>
      <w:r w:rsidR="00942B25">
        <w:rPr>
          <w:lang w:val="en-029"/>
        </w:rPr>
        <w:t xml:space="preserve">Caribbean </w:t>
      </w:r>
      <w:r w:rsidR="00A84ED7" w:rsidRPr="00917B65">
        <w:rPr>
          <w:lang w:val="en-029"/>
        </w:rPr>
        <w:t>experience</w:t>
      </w:r>
      <w:r w:rsidR="00CC6075">
        <w:rPr>
          <w:rStyle w:val="EndnoteReference"/>
          <w:lang w:val="en-029"/>
        </w:rPr>
        <w:endnoteReference w:id="5"/>
      </w:r>
      <w:r w:rsidR="00A84ED7" w:rsidRPr="00917B65">
        <w:rPr>
          <w:lang w:val="en-029"/>
        </w:rPr>
        <w:t xml:space="preserve">, </w:t>
      </w:r>
      <w:r w:rsidRPr="00917B65">
        <w:rPr>
          <w:lang w:val="en-029"/>
        </w:rPr>
        <w:t xml:space="preserve">political capital </w:t>
      </w:r>
      <w:r w:rsidR="00A84ED7" w:rsidRPr="00917B65">
        <w:rPr>
          <w:lang w:val="en-029"/>
        </w:rPr>
        <w:t>in eight sovereign countries</w:t>
      </w:r>
      <w:r w:rsidR="003B5D6F">
        <w:rPr>
          <w:lang w:val="en-029"/>
        </w:rPr>
        <w:t>,</w:t>
      </w:r>
      <w:r w:rsidR="00A84ED7" w:rsidRPr="00917B65">
        <w:rPr>
          <w:lang w:val="en-029"/>
        </w:rPr>
        <w:t xml:space="preserve"> </w:t>
      </w:r>
      <w:r w:rsidRPr="00917B65">
        <w:rPr>
          <w:lang w:val="en-029"/>
        </w:rPr>
        <w:t>and</w:t>
      </w:r>
      <w:r w:rsidR="00A84ED7" w:rsidRPr="00917B65">
        <w:rPr>
          <w:lang w:val="en-029"/>
        </w:rPr>
        <w:t xml:space="preserve"> the health of </w:t>
      </w:r>
      <w:r w:rsidR="00942B25">
        <w:rPr>
          <w:lang w:val="en-029"/>
        </w:rPr>
        <w:t>a vast tropical marine area</w:t>
      </w:r>
      <w:r w:rsidR="00CC6075">
        <w:rPr>
          <w:lang w:val="en-029"/>
        </w:rPr>
        <w:t>. Hence th</w:t>
      </w:r>
      <w:r w:rsidR="00A84ED7" w:rsidRPr="00917B65">
        <w:rPr>
          <w:lang w:val="en-029"/>
        </w:rPr>
        <w:t xml:space="preserve">e </w:t>
      </w:r>
      <w:r w:rsidR="00F9702A">
        <w:rPr>
          <w:lang w:val="en-029"/>
        </w:rPr>
        <w:t>Caribbean Challenge Initiative</w:t>
      </w:r>
      <w:r w:rsidR="00B9703F">
        <w:rPr>
          <w:lang w:val="en-029"/>
        </w:rPr>
        <w:t xml:space="preserve"> </w:t>
      </w:r>
      <w:r w:rsidR="00A84ED7" w:rsidRPr="00917B65">
        <w:rPr>
          <w:lang w:val="en-029"/>
        </w:rPr>
        <w:t xml:space="preserve">is </w:t>
      </w:r>
      <w:r w:rsidR="00755730">
        <w:rPr>
          <w:lang w:val="en-029"/>
        </w:rPr>
        <w:t>high risk</w:t>
      </w:r>
      <w:r w:rsidR="00CC6075">
        <w:rPr>
          <w:lang w:val="en-029"/>
        </w:rPr>
        <w:t>,</w:t>
      </w:r>
      <w:r w:rsidR="00755730">
        <w:rPr>
          <w:lang w:val="en-029"/>
        </w:rPr>
        <w:t xml:space="preserve"> but </w:t>
      </w:r>
      <w:r w:rsidR="00A84ED7" w:rsidRPr="00917B65">
        <w:rPr>
          <w:lang w:val="en-029"/>
        </w:rPr>
        <w:t xml:space="preserve">well positioned to be a pioneer in </w:t>
      </w:r>
      <w:r w:rsidR="003B5D6F">
        <w:rPr>
          <w:lang w:val="en-029"/>
        </w:rPr>
        <w:t xml:space="preserve">achieving long lasting </w:t>
      </w:r>
      <w:r w:rsidR="00A84ED7" w:rsidRPr="00917B65">
        <w:rPr>
          <w:lang w:val="en-029"/>
        </w:rPr>
        <w:t>conservation</w:t>
      </w:r>
      <w:r w:rsidR="00DA0C15">
        <w:rPr>
          <w:lang w:val="en-029"/>
        </w:rPr>
        <w:t xml:space="preserve"> for future generations</w:t>
      </w:r>
      <w:r w:rsidR="00A84ED7" w:rsidRPr="00917B65">
        <w:rPr>
          <w:lang w:val="en-029"/>
        </w:rPr>
        <w:t xml:space="preserve">. . </w:t>
      </w:r>
    </w:p>
    <w:p w:rsidR="00C148F8" w:rsidRDefault="00393F72" w:rsidP="005A597C">
      <w:pPr>
        <w:rPr>
          <w:bCs/>
          <w:lang w:val="en-029"/>
        </w:rPr>
      </w:pPr>
      <w:r w:rsidRPr="00917B65">
        <w:rPr>
          <w:lang w:val="en-029"/>
        </w:rPr>
        <w:t>This measures framework provides an important baseline for measuring progress on ecological, human, and sustainable finance objectives</w:t>
      </w:r>
      <w:r w:rsidR="00CC6075" w:rsidRPr="00CC6075">
        <w:rPr>
          <w:lang w:val="en-029"/>
        </w:rPr>
        <w:t xml:space="preserve"> </w:t>
      </w:r>
      <w:r w:rsidR="00CC6075" w:rsidRPr="00917B65">
        <w:rPr>
          <w:lang w:val="en-029"/>
        </w:rPr>
        <w:t>for multiple countries</w:t>
      </w:r>
      <w:r w:rsidRPr="00917B65">
        <w:rPr>
          <w:lang w:val="en-029"/>
        </w:rPr>
        <w:t xml:space="preserve">. </w:t>
      </w:r>
      <w:r w:rsidR="009D1AF3" w:rsidRPr="00917B65">
        <w:rPr>
          <w:lang w:val="en-029"/>
        </w:rPr>
        <w:t>Furthermore, t</w:t>
      </w:r>
      <w:r w:rsidRPr="00917B65">
        <w:rPr>
          <w:lang w:val="en-029"/>
        </w:rPr>
        <w:t>h</w:t>
      </w:r>
      <w:r w:rsidR="00942B25">
        <w:rPr>
          <w:lang w:val="en-029"/>
        </w:rPr>
        <w:t>e</w:t>
      </w:r>
      <w:r w:rsidRPr="00917B65">
        <w:rPr>
          <w:lang w:val="en-029"/>
        </w:rPr>
        <w:t xml:space="preserve"> framework is </w:t>
      </w:r>
      <w:r w:rsidR="009D1AF3" w:rsidRPr="00917B65">
        <w:rPr>
          <w:lang w:val="en-029"/>
        </w:rPr>
        <w:t>hoped</w:t>
      </w:r>
      <w:r w:rsidRPr="00917B65">
        <w:rPr>
          <w:lang w:val="en-029"/>
        </w:rPr>
        <w:t xml:space="preserve"> to be a novel approach to consistently reporting measures </w:t>
      </w:r>
      <w:r w:rsidR="00A165AA" w:rsidRPr="00917B65">
        <w:rPr>
          <w:lang w:val="en-029"/>
        </w:rPr>
        <w:t>at regional, national and site scales</w:t>
      </w:r>
      <w:r w:rsidRPr="00917B65">
        <w:rPr>
          <w:lang w:val="en-029"/>
        </w:rPr>
        <w:t xml:space="preserve">. The costs and time involved in developing these measures will be balanced by the significant </w:t>
      </w:r>
      <w:r w:rsidR="00EC430A">
        <w:rPr>
          <w:lang w:val="en-029"/>
        </w:rPr>
        <w:t xml:space="preserve">connections </w:t>
      </w:r>
      <w:r w:rsidR="00E809F7">
        <w:rPr>
          <w:lang w:val="en-029"/>
        </w:rPr>
        <w:t xml:space="preserve">and accountability </w:t>
      </w:r>
      <w:r w:rsidR="00EC430A">
        <w:rPr>
          <w:lang w:val="en-029"/>
        </w:rPr>
        <w:t>with various participants and donors,</w:t>
      </w:r>
      <w:r w:rsidRPr="00917B65">
        <w:rPr>
          <w:lang w:val="en-029"/>
        </w:rPr>
        <w:t xml:space="preserve"> and </w:t>
      </w:r>
      <w:r w:rsidR="00EC430A">
        <w:rPr>
          <w:lang w:val="en-029"/>
        </w:rPr>
        <w:t xml:space="preserve">the </w:t>
      </w:r>
      <w:r w:rsidRPr="00917B65">
        <w:rPr>
          <w:lang w:val="en-029"/>
        </w:rPr>
        <w:t>increased funding that the framework will provide</w:t>
      </w:r>
      <w:r w:rsidR="009D1AF3" w:rsidRPr="00917B65">
        <w:rPr>
          <w:lang w:val="en-029"/>
        </w:rPr>
        <w:t>.</w:t>
      </w:r>
      <w:r w:rsidR="00071692">
        <w:rPr>
          <w:lang w:val="en-029"/>
        </w:rPr>
        <w:t xml:space="preserve"> </w:t>
      </w:r>
      <w:r w:rsidR="00CC6075">
        <w:rPr>
          <w:lang w:val="en-029"/>
        </w:rPr>
        <w:t>The measures framework is aimed at several audiences</w:t>
      </w:r>
      <w:r w:rsidR="00B810A7">
        <w:rPr>
          <w:lang w:val="en-029"/>
        </w:rPr>
        <w:t xml:space="preserve"> initially</w:t>
      </w:r>
      <w:r w:rsidR="00CC6075">
        <w:rPr>
          <w:lang w:val="en-029"/>
        </w:rPr>
        <w:t>: It will inform TNC Caribbean operations</w:t>
      </w:r>
      <w:r w:rsidR="00420A78">
        <w:rPr>
          <w:lang w:val="en-029"/>
        </w:rPr>
        <w:t>, global executive team and board,</w:t>
      </w:r>
      <w:r w:rsidR="00CC6075">
        <w:rPr>
          <w:lang w:val="en-029"/>
        </w:rPr>
        <w:t xml:space="preserve"> </w:t>
      </w:r>
      <w:r w:rsidR="00420A78">
        <w:rPr>
          <w:lang w:val="en-029"/>
        </w:rPr>
        <w:t>as well as</w:t>
      </w:r>
      <w:r w:rsidR="00CC6075">
        <w:rPr>
          <w:lang w:val="en-029"/>
        </w:rPr>
        <w:t xml:space="preserve"> </w:t>
      </w:r>
      <w:r w:rsidR="00B810A7">
        <w:rPr>
          <w:lang w:val="en-029"/>
        </w:rPr>
        <w:t xml:space="preserve">select </w:t>
      </w:r>
      <w:r w:rsidR="00CC6075">
        <w:rPr>
          <w:lang w:val="en-029"/>
        </w:rPr>
        <w:t>partners</w:t>
      </w:r>
      <w:r w:rsidR="00420A78">
        <w:rPr>
          <w:lang w:val="en-029"/>
        </w:rPr>
        <w:t>.</w:t>
      </w:r>
      <w:r w:rsidR="00EC430A">
        <w:rPr>
          <w:lang w:val="en-029"/>
        </w:rPr>
        <w:t xml:space="preserve"> </w:t>
      </w:r>
      <w:r w:rsidR="00420A78">
        <w:rPr>
          <w:lang w:val="en-029"/>
        </w:rPr>
        <w:t xml:space="preserve">It </w:t>
      </w:r>
      <w:r w:rsidR="00CC6075">
        <w:rPr>
          <w:lang w:val="en-029"/>
        </w:rPr>
        <w:t xml:space="preserve">will </w:t>
      </w:r>
      <w:r w:rsidR="00420A78">
        <w:rPr>
          <w:lang w:val="en-029"/>
        </w:rPr>
        <w:t>also</w:t>
      </w:r>
      <w:r w:rsidR="00CC6075">
        <w:rPr>
          <w:lang w:val="en-029"/>
        </w:rPr>
        <w:t xml:space="preserve"> provide </w:t>
      </w:r>
      <w:r w:rsidR="00CC6075">
        <w:t>the basis for stewardship reporting for major donors that have expressed interest in investing in the Caribbean Biodiversity Fund (CBF).</w:t>
      </w:r>
      <w:r w:rsidR="00B810A7">
        <w:rPr>
          <w:b/>
          <w:bCs/>
          <w:lang w:val="en-029"/>
        </w:rPr>
        <w:t xml:space="preserve"> </w:t>
      </w:r>
      <w:r w:rsidR="00B810A7" w:rsidRPr="00EC430A">
        <w:rPr>
          <w:bCs/>
          <w:lang w:val="en-029"/>
        </w:rPr>
        <w:t>Over time, this framework could be modified and used to provide periodic progress reports for governments.</w:t>
      </w:r>
    </w:p>
    <w:p w:rsidR="00B45082" w:rsidRPr="00EC430A" w:rsidRDefault="00B45082" w:rsidP="005A597C">
      <w:pPr>
        <w:rPr>
          <w:lang w:val="en-029"/>
        </w:rPr>
      </w:pPr>
      <w:r>
        <w:rPr>
          <w:bCs/>
          <w:lang w:val="en-029"/>
        </w:rPr>
        <w:t>It must also be noted that this phase in the development of measures for the CCI is being conducted by TNC. It is expected that as the CCI coordination matures and roles are clarified, a more collaborative approach to measures development will be pursued.</w:t>
      </w:r>
    </w:p>
    <w:p w:rsidR="003D55DC" w:rsidRPr="003D55DC" w:rsidRDefault="003D55DC" w:rsidP="003D55DC">
      <w:pPr>
        <w:rPr>
          <w:lang w:val="en-029"/>
        </w:rPr>
      </w:pPr>
    </w:p>
    <w:p w:rsidR="00764A97" w:rsidRPr="00917B65" w:rsidRDefault="00764A97" w:rsidP="00C148F8">
      <w:pPr>
        <w:pStyle w:val="Heading2"/>
        <w:rPr>
          <w:lang w:val="en-029"/>
        </w:rPr>
      </w:pPr>
      <w:bookmarkStart w:id="7" w:name="_Toc295219021"/>
      <w:r w:rsidRPr="00917B65">
        <w:rPr>
          <w:lang w:val="en-029"/>
        </w:rPr>
        <w:lastRenderedPageBreak/>
        <w:t>Objective</w:t>
      </w:r>
      <w:r w:rsidR="00BD709D" w:rsidRPr="00917B65">
        <w:rPr>
          <w:lang w:val="en-029"/>
        </w:rPr>
        <w:t>s and Timeline</w:t>
      </w:r>
      <w:r w:rsidRPr="00917B65">
        <w:rPr>
          <w:lang w:val="en-029"/>
        </w:rPr>
        <w:t xml:space="preserve"> of Measures Development</w:t>
      </w:r>
      <w:bookmarkEnd w:id="7"/>
    </w:p>
    <w:p w:rsidR="00C148F8" w:rsidRPr="00917B65" w:rsidRDefault="00071692">
      <w:pPr>
        <w:rPr>
          <w:lang w:val="en-029"/>
        </w:rPr>
      </w:pPr>
      <w:r>
        <w:rPr>
          <w:lang w:val="en-029"/>
        </w:rPr>
        <w:t xml:space="preserve">Since 2008, </w:t>
      </w:r>
      <w:r w:rsidR="00066BDB">
        <w:rPr>
          <w:lang w:val="en-029"/>
        </w:rPr>
        <w:t>the</w:t>
      </w:r>
      <w:r>
        <w:rPr>
          <w:lang w:val="en-029"/>
        </w:rPr>
        <w:t xml:space="preserve"> Caribbean programme </w:t>
      </w:r>
      <w:r w:rsidR="00720577">
        <w:rPr>
          <w:lang w:val="en-029"/>
        </w:rPr>
        <w:t xml:space="preserve">has </w:t>
      </w:r>
      <w:r>
        <w:rPr>
          <w:lang w:val="en-029"/>
        </w:rPr>
        <w:t xml:space="preserve">recognised the need </w:t>
      </w:r>
      <w:r w:rsidR="00720577">
        <w:rPr>
          <w:lang w:val="en-029"/>
        </w:rPr>
        <w:t xml:space="preserve">to track the overall progress of the </w:t>
      </w:r>
      <w:r w:rsidR="00F9702A">
        <w:rPr>
          <w:lang w:val="en-029"/>
        </w:rPr>
        <w:t xml:space="preserve">Caribbean Challenge Initiative </w:t>
      </w:r>
      <w:r w:rsidR="00720577">
        <w:rPr>
          <w:lang w:val="en-029"/>
        </w:rPr>
        <w:t xml:space="preserve">using compatible metrics across participating countries. </w:t>
      </w:r>
      <w:r w:rsidR="00342546" w:rsidRPr="00917B65">
        <w:rPr>
          <w:lang w:val="en-029"/>
        </w:rPr>
        <w:t xml:space="preserve">The goal </w:t>
      </w:r>
      <w:r w:rsidR="00720577">
        <w:rPr>
          <w:lang w:val="en-029"/>
        </w:rPr>
        <w:t xml:space="preserve">of this exercise is therefore </w:t>
      </w:r>
      <w:r w:rsidR="00342546" w:rsidRPr="00917B65">
        <w:rPr>
          <w:lang w:val="en-029"/>
        </w:rPr>
        <w:t xml:space="preserve">to develop a standardized system for </w:t>
      </w:r>
      <w:r w:rsidR="00F037EF">
        <w:rPr>
          <w:lang w:val="en-029"/>
        </w:rPr>
        <w:t xml:space="preserve">measuring and </w:t>
      </w:r>
      <w:r w:rsidR="00342546" w:rsidRPr="00917B65">
        <w:rPr>
          <w:lang w:val="en-029"/>
        </w:rPr>
        <w:t xml:space="preserve">reporting progress </w:t>
      </w:r>
      <w:r w:rsidR="00066BDB">
        <w:rPr>
          <w:lang w:val="en-029"/>
        </w:rPr>
        <w:t xml:space="preserve">of </w:t>
      </w:r>
      <w:r w:rsidR="00F037EF">
        <w:rPr>
          <w:lang w:val="en-029"/>
        </w:rPr>
        <w:t xml:space="preserve">the </w:t>
      </w:r>
      <w:r w:rsidR="00F9702A">
        <w:rPr>
          <w:lang w:val="en-029"/>
        </w:rPr>
        <w:t xml:space="preserve">Caribbean Challenge Initiative </w:t>
      </w:r>
      <w:r w:rsidR="00F037EF">
        <w:rPr>
          <w:lang w:val="en-029"/>
        </w:rPr>
        <w:t>by Ju</w:t>
      </w:r>
      <w:r w:rsidR="00342546" w:rsidRPr="00917B65">
        <w:rPr>
          <w:lang w:val="en-029"/>
        </w:rPr>
        <w:t>ne 201</w:t>
      </w:r>
      <w:r w:rsidR="00F037EF">
        <w:rPr>
          <w:lang w:val="en-029"/>
        </w:rPr>
        <w:t>2.</w:t>
      </w:r>
      <w:r w:rsidR="00342546" w:rsidRPr="00917B65">
        <w:rPr>
          <w:lang w:val="en-029"/>
        </w:rPr>
        <w:t xml:space="preserve"> </w:t>
      </w:r>
      <w:r w:rsidR="00704D56" w:rsidRPr="00917B65">
        <w:rPr>
          <w:lang w:val="en-029"/>
        </w:rPr>
        <w:t xml:space="preserve">There </w:t>
      </w:r>
      <w:r w:rsidR="00DA0C15">
        <w:rPr>
          <w:lang w:val="en-029"/>
        </w:rPr>
        <w:t>are</w:t>
      </w:r>
      <w:r w:rsidR="00704D56" w:rsidRPr="00917B65">
        <w:rPr>
          <w:lang w:val="en-029"/>
        </w:rPr>
        <w:t xml:space="preserve"> two temporal scales to the measures framework: a) immediate monitoring of short-term indicators (</w:t>
      </w:r>
      <w:r w:rsidR="003D55DC">
        <w:rPr>
          <w:lang w:val="en-029"/>
        </w:rPr>
        <w:t>i.e.</w:t>
      </w:r>
      <w:r w:rsidR="00704D56" w:rsidRPr="00917B65">
        <w:rPr>
          <w:lang w:val="en-029"/>
        </w:rPr>
        <w:t xml:space="preserve"> protected area expansion</w:t>
      </w:r>
      <w:r w:rsidR="003D55DC">
        <w:rPr>
          <w:lang w:val="en-029"/>
        </w:rPr>
        <w:t xml:space="preserve"> and enhancement</w:t>
      </w:r>
      <w:r w:rsidR="00704D56" w:rsidRPr="00917B65">
        <w:rPr>
          <w:lang w:val="en-029"/>
        </w:rPr>
        <w:t>, sustainable finance); and b) long-term monitoring of long-term indicators (e.g. progress on ecological</w:t>
      </w:r>
      <w:r w:rsidR="00206656" w:rsidRPr="00917B65">
        <w:rPr>
          <w:lang w:val="en-029"/>
        </w:rPr>
        <w:t xml:space="preserve"> and </w:t>
      </w:r>
      <w:r w:rsidR="00704D56" w:rsidRPr="00917B65">
        <w:rPr>
          <w:lang w:val="en-029"/>
        </w:rPr>
        <w:t xml:space="preserve">human </w:t>
      </w:r>
      <w:r w:rsidR="00206656" w:rsidRPr="00917B65">
        <w:rPr>
          <w:lang w:val="en-029"/>
        </w:rPr>
        <w:t>well</w:t>
      </w:r>
      <w:r w:rsidR="005160F5">
        <w:rPr>
          <w:lang w:val="en-029"/>
        </w:rPr>
        <w:t>-</w:t>
      </w:r>
      <w:r w:rsidR="00206656" w:rsidRPr="00917B65">
        <w:rPr>
          <w:lang w:val="en-029"/>
        </w:rPr>
        <w:t>being</w:t>
      </w:r>
      <w:r w:rsidR="00EC430A">
        <w:rPr>
          <w:lang w:val="en-029"/>
        </w:rPr>
        <w:t xml:space="preserve"> objectives</w:t>
      </w:r>
      <w:r w:rsidR="00704D56" w:rsidRPr="00917B65">
        <w:rPr>
          <w:lang w:val="en-029"/>
        </w:rPr>
        <w:t xml:space="preserve">). </w:t>
      </w:r>
      <w:r w:rsidR="007D194B">
        <w:rPr>
          <w:lang w:val="en-029"/>
        </w:rPr>
        <w:t>I</w:t>
      </w:r>
      <w:r w:rsidR="007D194B" w:rsidRPr="007D194B">
        <w:t>ndicators will be assess</w:t>
      </w:r>
      <w:r w:rsidR="007D194B">
        <w:t>ed</w:t>
      </w:r>
      <w:r w:rsidR="007D194B" w:rsidRPr="007D194B">
        <w:t xml:space="preserve"> through sampling designs that account for the level of scientific rigor and geographic inference required to answer specific questions for the above audiences for measures and to effectively trigger appropriate management action</w:t>
      </w:r>
      <w:r w:rsidR="00CE4123">
        <w:t>s</w:t>
      </w:r>
      <w:r w:rsidR="0089793F" w:rsidRPr="007D194B">
        <w:t>.</w:t>
      </w:r>
      <w:r w:rsidR="0089793F">
        <w:t xml:space="preserve"> </w:t>
      </w:r>
    </w:p>
    <w:p w:rsidR="00C410B8" w:rsidRDefault="00696EF7">
      <w:pPr>
        <w:rPr>
          <w:lang w:val="en-029"/>
        </w:rPr>
      </w:pPr>
      <w:bookmarkStart w:id="8" w:name="_Toc295219022"/>
      <w:r w:rsidRPr="0021274F">
        <w:rPr>
          <w:rStyle w:val="Heading3Char"/>
        </w:rPr>
        <w:t>Phase 1: January to June 2011</w:t>
      </w:r>
      <w:bookmarkEnd w:id="8"/>
      <w:r w:rsidRPr="00917B65">
        <w:rPr>
          <w:lang w:val="en-029"/>
        </w:rPr>
        <w:t xml:space="preserve">: </w:t>
      </w:r>
    </w:p>
    <w:p w:rsidR="00696EF7" w:rsidRPr="00917B65" w:rsidRDefault="00F037EF">
      <w:pPr>
        <w:rPr>
          <w:lang w:val="en-029"/>
        </w:rPr>
      </w:pPr>
      <w:r>
        <w:rPr>
          <w:lang w:val="en-029"/>
        </w:rPr>
        <w:t xml:space="preserve">The aim of this </w:t>
      </w:r>
      <w:r w:rsidR="005160F5">
        <w:rPr>
          <w:lang w:val="en-029"/>
        </w:rPr>
        <w:t>first</w:t>
      </w:r>
      <w:r>
        <w:rPr>
          <w:lang w:val="en-029"/>
        </w:rPr>
        <w:t xml:space="preserve"> phase </w:t>
      </w:r>
      <w:r w:rsidR="003B5D6F">
        <w:rPr>
          <w:lang w:val="en-029"/>
        </w:rPr>
        <w:t xml:space="preserve">is </w:t>
      </w:r>
      <w:r>
        <w:rPr>
          <w:lang w:val="en-029"/>
        </w:rPr>
        <w:t>to plan, initiate</w:t>
      </w:r>
      <w:r w:rsidR="003B5D6F">
        <w:rPr>
          <w:lang w:val="en-029"/>
        </w:rPr>
        <w:t>,</w:t>
      </w:r>
      <w:r>
        <w:rPr>
          <w:lang w:val="en-029"/>
        </w:rPr>
        <w:t xml:space="preserve"> and test the development of measures for the Caribbean Challenge. </w:t>
      </w:r>
      <w:r w:rsidR="005160F5">
        <w:rPr>
          <w:lang w:val="en-029"/>
        </w:rPr>
        <w:t xml:space="preserve">Beginning in </w:t>
      </w:r>
      <w:r>
        <w:rPr>
          <w:lang w:val="en-029"/>
        </w:rPr>
        <w:t>January 2011, t</w:t>
      </w:r>
      <w:r w:rsidR="00696EF7" w:rsidRPr="00917B65">
        <w:rPr>
          <w:lang w:val="en-029"/>
        </w:rPr>
        <w:t xml:space="preserve">he </w:t>
      </w:r>
      <w:r w:rsidR="00EC430A">
        <w:rPr>
          <w:lang w:val="en-029"/>
        </w:rPr>
        <w:t xml:space="preserve">Caribbean </w:t>
      </w:r>
      <w:r w:rsidR="00696EF7" w:rsidRPr="00917B65">
        <w:rPr>
          <w:lang w:val="en-029"/>
        </w:rPr>
        <w:t>scien</w:t>
      </w:r>
      <w:r>
        <w:rPr>
          <w:lang w:val="en-029"/>
        </w:rPr>
        <w:t xml:space="preserve">ce team led </w:t>
      </w:r>
      <w:r w:rsidR="005160F5">
        <w:rPr>
          <w:lang w:val="en-029"/>
        </w:rPr>
        <w:t>a pilot project for</w:t>
      </w:r>
      <w:r>
        <w:rPr>
          <w:lang w:val="en-029"/>
        </w:rPr>
        <w:t xml:space="preserve"> the development of </w:t>
      </w:r>
      <w:r w:rsidR="00696EF7" w:rsidRPr="00917B65">
        <w:rPr>
          <w:lang w:val="en-029"/>
        </w:rPr>
        <w:t xml:space="preserve">Strategy Effectiveness Measures for </w:t>
      </w:r>
      <w:r>
        <w:rPr>
          <w:lang w:val="en-029"/>
        </w:rPr>
        <w:t xml:space="preserve">the </w:t>
      </w:r>
      <w:r w:rsidR="00696EF7" w:rsidRPr="00917B65">
        <w:rPr>
          <w:lang w:val="en-029"/>
        </w:rPr>
        <w:t>MPA and Sustainable Finance</w:t>
      </w:r>
      <w:r>
        <w:rPr>
          <w:lang w:val="en-029"/>
        </w:rPr>
        <w:t xml:space="preserve"> components of the Challenge using the </w:t>
      </w:r>
      <w:r w:rsidR="00CB1635" w:rsidRPr="00917B65">
        <w:rPr>
          <w:lang w:val="en-029"/>
        </w:rPr>
        <w:t xml:space="preserve">Dominican </w:t>
      </w:r>
      <w:r>
        <w:rPr>
          <w:lang w:val="en-029"/>
        </w:rPr>
        <w:t>R</w:t>
      </w:r>
      <w:r w:rsidR="00CB1635" w:rsidRPr="00917B65">
        <w:rPr>
          <w:lang w:val="en-029"/>
        </w:rPr>
        <w:t>epublic</w:t>
      </w:r>
      <w:r>
        <w:rPr>
          <w:lang w:val="en-029"/>
        </w:rPr>
        <w:t xml:space="preserve">. </w:t>
      </w:r>
      <w:r w:rsidR="00066BDB">
        <w:rPr>
          <w:lang w:val="en-029"/>
        </w:rPr>
        <w:t>Phase 1</w:t>
      </w:r>
      <w:r w:rsidR="005160F5">
        <w:rPr>
          <w:lang w:val="en-029"/>
        </w:rPr>
        <w:t>will</w:t>
      </w:r>
      <w:r>
        <w:rPr>
          <w:lang w:val="en-029"/>
        </w:rPr>
        <w:t xml:space="preserve"> test the alignment of measures at regional, national</w:t>
      </w:r>
      <w:r w:rsidR="005160F5">
        <w:rPr>
          <w:lang w:val="en-029"/>
        </w:rPr>
        <w:t>,</w:t>
      </w:r>
      <w:r>
        <w:rPr>
          <w:lang w:val="en-029"/>
        </w:rPr>
        <w:t xml:space="preserve"> and site scales</w:t>
      </w:r>
      <w:r w:rsidR="005160F5">
        <w:rPr>
          <w:lang w:val="en-029"/>
        </w:rPr>
        <w:t xml:space="preserve">, resulting is an </w:t>
      </w:r>
      <w:r>
        <w:rPr>
          <w:lang w:val="en-029"/>
        </w:rPr>
        <w:t xml:space="preserve">end product </w:t>
      </w:r>
      <w:r w:rsidR="005160F5">
        <w:rPr>
          <w:lang w:val="en-029"/>
        </w:rPr>
        <w:t xml:space="preserve">that </w:t>
      </w:r>
      <w:r>
        <w:rPr>
          <w:lang w:val="en-029"/>
        </w:rPr>
        <w:t xml:space="preserve">will be a framework </w:t>
      </w:r>
      <w:r w:rsidR="005160F5">
        <w:rPr>
          <w:lang w:val="en-029"/>
        </w:rPr>
        <w:t xml:space="preserve">for </w:t>
      </w:r>
      <w:r>
        <w:rPr>
          <w:lang w:val="en-029"/>
        </w:rPr>
        <w:t>MPA and Sustainable Finance strateg</w:t>
      </w:r>
      <w:r w:rsidR="005160F5">
        <w:rPr>
          <w:lang w:val="en-029"/>
        </w:rPr>
        <w:t>y measures</w:t>
      </w:r>
      <w:r>
        <w:rPr>
          <w:lang w:val="en-029"/>
        </w:rPr>
        <w:t xml:space="preserve"> at </w:t>
      </w:r>
      <w:r w:rsidR="005160F5">
        <w:rPr>
          <w:lang w:val="en-029"/>
        </w:rPr>
        <w:t>both</w:t>
      </w:r>
      <w:r>
        <w:rPr>
          <w:lang w:val="en-029"/>
        </w:rPr>
        <w:t xml:space="preserve"> regional and national scales.</w:t>
      </w:r>
    </w:p>
    <w:p w:rsidR="00696EF7" w:rsidRPr="00917B65" w:rsidRDefault="00696EF7">
      <w:pPr>
        <w:rPr>
          <w:lang w:val="en-029"/>
        </w:rPr>
      </w:pPr>
      <w:bookmarkStart w:id="9" w:name="_Toc295219023"/>
      <w:r w:rsidRPr="0021274F">
        <w:rPr>
          <w:rStyle w:val="Heading3Char"/>
        </w:rPr>
        <w:t>Phase 2: July 2011</w:t>
      </w:r>
      <w:r w:rsidR="00765087" w:rsidRPr="0021274F">
        <w:rPr>
          <w:rStyle w:val="Heading3Char"/>
        </w:rPr>
        <w:t xml:space="preserve"> to June 2012</w:t>
      </w:r>
      <w:bookmarkEnd w:id="9"/>
      <w:r w:rsidR="00765087" w:rsidRPr="00917B65">
        <w:rPr>
          <w:lang w:val="en-029"/>
        </w:rPr>
        <w:t xml:space="preserve"> </w:t>
      </w:r>
    </w:p>
    <w:p w:rsidR="00206656" w:rsidRPr="00917B65" w:rsidRDefault="00206656">
      <w:pPr>
        <w:rPr>
          <w:lang w:val="en-029"/>
        </w:rPr>
      </w:pPr>
      <w:r w:rsidRPr="00917B65">
        <w:rPr>
          <w:lang w:val="en-029"/>
        </w:rPr>
        <w:t xml:space="preserve">In Phase 2, the following </w:t>
      </w:r>
      <w:r w:rsidR="00F037EF">
        <w:rPr>
          <w:lang w:val="en-029"/>
        </w:rPr>
        <w:t>activitie</w:t>
      </w:r>
      <w:r w:rsidRPr="00917B65">
        <w:rPr>
          <w:lang w:val="en-029"/>
        </w:rPr>
        <w:t xml:space="preserve">s will be </w:t>
      </w:r>
      <w:r w:rsidR="00F037EF">
        <w:rPr>
          <w:lang w:val="en-029"/>
        </w:rPr>
        <w:t>completed</w:t>
      </w:r>
      <w:r w:rsidRPr="00917B65">
        <w:rPr>
          <w:lang w:val="en-029"/>
        </w:rPr>
        <w:t>:</w:t>
      </w:r>
    </w:p>
    <w:p w:rsidR="00206656" w:rsidRPr="00917B65" w:rsidRDefault="00F037EF" w:rsidP="00A165AA">
      <w:pPr>
        <w:pStyle w:val="ListParagraph"/>
        <w:numPr>
          <w:ilvl w:val="0"/>
          <w:numId w:val="5"/>
        </w:numPr>
        <w:rPr>
          <w:lang w:val="en-029"/>
        </w:rPr>
      </w:pPr>
      <w:r>
        <w:rPr>
          <w:lang w:val="en-029"/>
        </w:rPr>
        <w:t>Develop s</w:t>
      </w:r>
      <w:r w:rsidR="00206656" w:rsidRPr="00917B65">
        <w:rPr>
          <w:lang w:val="en-029"/>
        </w:rPr>
        <w:t>trategy effectiveness measures for Ecosystem</w:t>
      </w:r>
      <w:r w:rsidR="003B5D6F">
        <w:rPr>
          <w:lang w:val="en-029"/>
        </w:rPr>
        <w:t>-B</w:t>
      </w:r>
      <w:r w:rsidR="00206656" w:rsidRPr="00917B65">
        <w:rPr>
          <w:lang w:val="en-029"/>
        </w:rPr>
        <w:t xml:space="preserve">ased Adaptation </w:t>
      </w:r>
      <w:r w:rsidR="003B5D6F">
        <w:rPr>
          <w:lang w:val="en-029"/>
        </w:rPr>
        <w:t xml:space="preserve">(EBA) </w:t>
      </w:r>
      <w:r w:rsidR="00206656" w:rsidRPr="00917B65">
        <w:rPr>
          <w:lang w:val="en-029"/>
        </w:rPr>
        <w:t>to climate change.</w:t>
      </w:r>
    </w:p>
    <w:p w:rsidR="00A165AA" w:rsidRPr="00917B65" w:rsidRDefault="00F037EF" w:rsidP="00A165AA">
      <w:pPr>
        <w:pStyle w:val="ListParagraph"/>
        <w:numPr>
          <w:ilvl w:val="0"/>
          <w:numId w:val="5"/>
        </w:numPr>
        <w:rPr>
          <w:lang w:val="en-029"/>
        </w:rPr>
      </w:pPr>
      <w:r>
        <w:rPr>
          <w:lang w:val="en-029"/>
        </w:rPr>
        <w:t>Develop s</w:t>
      </w:r>
      <w:r w:rsidR="00206656" w:rsidRPr="00917B65">
        <w:rPr>
          <w:lang w:val="en-029"/>
        </w:rPr>
        <w:t xml:space="preserve">tatus measures for </w:t>
      </w:r>
      <w:r w:rsidR="005A597C">
        <w:rPr>
          <w:lang w:val="en-029"/>
        </w:rPr>
        <w:t xml:space="preserve">coral reef ecosystems (coral reefs, mangroves and sea grass beds), </w:t>
      </w:r>
      <w:r w:rsidR="00206656" w:rsidRPr="00917B65">
        <w:rPr>
          <w:lang w:val="en-029"/>
        </w:rPr>
        <w:t xml:space="preserve">threats </w:t>
      </w:r>
      <w:r w:rsidR="003B5D6F">
        <w:rPr>
          <w:lang w:val="en-029"/>
        </w:rPr>
        <w:t>to</w:t>
      </w:r>
      <w:r w:rsidR="003B5D6F" w:rsidRPr="00917B65">
        <w:rPr>
          <w:lang w:val="en-029"/>
        </w:rPr>
        <w:t xml:space="preserve"> </w:t>
      </w:r>
      <w:r w:rsidR="00206656" w:rsidRPr="00917B65">
        <w:rPr>
          <w:lang w:val="en-029"/>
        </w:rPr>
        <w:t>biodiversity</w:t>
      </w:r>
      <w:r w:rsidR="005A597C">
        <w:rPr>
          <w:lang w:val="en-029"/>
        </w:rPr>
        <w:t xml:space="preserve"> (e.g. coastal development, overfishing)</w:t>
      </w:r>
      <w:r w:rsidR="00206656" w:rsidRPr="00917B65">
        <w:rPr>
          <w:lang w:val="en-029"/>
        </w:rPr>
        <w:t xml:space="preserve">, </w:t>
      </w:r>
      <w:r>
        <w:rPr>
          <w:lang w:val="en-029"/>
        </w:rPr>
        <w:t xml:space="preserve">and </w:t>
      </w:r>
      <w:r w:rsidR="00206656" w:rsidRPr="00917B65">
        <w:rPr>
          <w:lang w:val="en-029"/>
        </w:rPr>
        <w:t xml:space="preserve">socio-economic </w:t>
      </w:r>
      <w:r>
        <w:rPr>
          <w:lang w:val="en-029"/>
        </w:rPr>
        <w:t>impacts</w:t>
      </w:r>
      <w:r w:rsidR="005A597C">
        <w:rPr>
          <w:lang w:val="en-029"/>
        </w:rPr>
        <w:t xml:space="preserve"> (e.g. l</w:t>
      </w:r>
      <w:r w:rsidR="005A597C" w:rsidRPr="005A597C">
        <w:rPr>
          <w:lang w:val="en-029"/>
        </w:rPr>
        <w:t>ivelihoods, life support, empowerment, cultural significance</w:t>
      </w:r>
      <w:r w:rsidR="005A597C">
        <w:rPr>
          <w:lang w:val="en-029"/>
        </w:rPr>
        <w:t>)</w:t>
      </w:r>
      <w:r w:rsidR="00206656" w:rsidRPr="00917B65">
        <w:rPr>
          <w:lang w:val="en-029"/>
        </w:rPr>
        <w:t xml:space="preserve">. </w:t>
      </w:r>
    </w:p>
    <w:p w:rsidR="00A165AA" w:rsidRDefault="00F037EF" w:rsidP="00A165AA">
      <w:pPr>
        <w:pStyle w:val="ListParagraph"/>
        <w:numPr>
          <w:ilvl w:val="0"/>
          <w:numId w:val="5"/>
        </w:numPr>
        <w:rPr>
          <w:lang w:val="en-029"/>
        </w:rPr>
      </w:pPr>
      <w:r>
        <w:rPr>
          <w:lang w:val="en-029"/>
        </w:rPr>
        <w:t>Develop n</w:t>
      </w:r>
      <w:r w:rsidR="00A165AA" w:rsidRPr="00917B65">
        <w:rPr>
          <w:lang w:val="en-029"/>
        </w:rPr>
        <w:t xml:space="preserve">ational and demonstration site level measures for sustainable </w:t>
      </w:r>
      <w:r w:rsidR="00206656" w:rsidRPr="00917B65">
        <w:rPr>
          <w:lang w:val="en-029"/>
        </w:rPr>
        <w:t>fisheries</w:t>
      </w:r>
      <w:r w:rsidR="00A165AA" w:rsidRPr="00917B65">
        <w:rPr>
          <w:lang w:val="en-029"/>
        </w:rPr>
        <w:t xml:space="preserve"> and </w:t>
      </w:r>
      <w:r w:rsidR="00206656" w:rsidRPr="00917B65">
        <w:rPr>
          <w:lang w:val="en-029"/>
        </w:rPr>
        <w:t xml:space="preserve">tourism strategies </w:t>
      </w:r>
    </w:p>
    <w:p w:rsidR="00F037EF" w:rsidRPr="00917B65" w:rsidRDefault="00F037EF" w:rsidP="00A165AA">
      <w:pPr>
        <w:pStyle w:val="ListParagraph"/>
        <w:numPr>
          <w:ilvl w:val="0"/>
          <w:numId w:val="5"/>
        </w:numPr>
        <w:rPr>
          <w:lang w:val="en-029"/>
        </w:rPr>
      </w:pPr>
      <w:r>
        <w:rPr>
          <w:lang w:val="en-029"/>
        </w:rPr>
        <w:t xml:space="preserve">Develop a standardised </w:t>
      </w:r>
      <w:r w:rsidR="005160F5">
        <w:rPr>
          <w:lang w:val="en-029"/>
        </w:rPr>
        <w:t xml:space="preserve">and rolled-up </w:t>
      </w:r>
      <w:r>
        <w:rPr>
          <w:lang w:val="en-029"/>
        </w:rPr>
        <w:t xml:space="preserve">reporting mechanism for all measures, e.g. a simple </w:t>
      </w:r>
      <w:r w:rsidR="00F9702A">
        <w:rPr>
          <w:lang w:val="en-029"/>
        </w:rPr>
        <w:t xml:space="preserve">Caribbean Challenge Initiative </w:t>
      </w:r>
      <w:r>
        <w:rPr>
          <w:lang w:val="en-029"/>
        </w:rPr>
        <w:t>report card</w:t>
      </w:r>
      <w:r w:rsidR="00EC430A">
        <w:rPr>
          <w:lang w:val="en-029"/>
        </w:rPr>
        <w:t xml:space="preserve"> or an online GIS based “dashboard”</w:t>
      </w:r>
      <w:r>
        <w:rPr>
          <w:lang w:val="en-029"/>
        </w:rPr>
        <w:t>.</w:t>
      </w:r>
    </w:p>
    <w:p w:rsidR="004C5C6A" w:rsidRPr="00917B65" w:rsidRDefault="004C5C6A">
      <w:pPr>
        <w:rPr>
          <w:lang w:val="en-029"/>
        </w:rPr>
      </w:pPr>
      <w:r w:rsidRPr="00917B65">
        <w:rPr>
          <w:lang w:val="en-029"/>
        </w:rPr>
        <w:br w:type="page"/>
      </w:r>
    </w:p>
    <w:p w:rsidR="00F91014" w:rsidRPr="00917B65" w:rsidRDefault="00764A97" w:rsidP="007B3361">
      <w:pPr>
        <w:pStyle w:val="Heading1"/>
        <w:rPr>
          <w:lang w:val="en-029"/>
        </w:rPr>
      </w:pPr>
      <w:bookmarkStart w:id="10" w:name="_Toc295219024"/>
      <w:r w:rsidRPr="00917B65">
        <w:rPr>
          <w:lang w:val="en-029"/>
        </w:rPr>
        <w:lastRenderedPageBreak/>
        <w:t>METHODS</w:t>
      </w:r>
      <w:r w:rsidR="00F91014" w:rsidRPr="00917B65">
        <w:rPr>
          <w:lang w:val="en-029"/>
        </w:rPr>
        <w:t xml:space="preserve"> &amp; RESULTS</w:t>
      </w:r>
      <w:bookmarkEnd w:id="10"/>
    </w:p>
    <w:p w:rsidR="00CB1635" w:rsidRPr="00917B65" w:rsidRDefault="005160F5">
      <w:pPr>
        <w:rPr>
          <w:lang w:val="en-029"/>
        </w:rPr>
      </w:pPr>
      <w:r>
        <w:rPr>
          <w:lang w:val="en-029"/>
        </w:rPr>
        <w:t>The development of</w:t>
      </w:r>
      <w:r w:rsidRPr="00917B65">
        <w:rPr>
          <w:lang w:val="en-029"/>
        </w:rPr>
        <w:t xml:space="preserve"> </w:t>
      </w:r>
      <w:r w:rsidR="00F91014" w:rsidRPr="00917B65">
        <w:rPr>
          <w:lang w:val="en-029"/>
        </w:rPr>
        <w:t>measures</w:t>
      </w:r>
      <w:r w:rsidR="00CB1635" w:rsidRPr="00917B65">
        <w:rPr>
          <w:lang w:val="en-029"/>
        </w:rPr>
        <w:t xml:space="preserve"> for the </w:t>
      </w:r>
      <w:r w:rsidR="00F07890" w:rsidRPr="00917B65">
        <w:rPr>
          <w:lang w:val="en-029"/>
        </w:rPr>
        <w:t>Caribbean</w:t>
      </w:r>
      <w:r w:rsidR="00CB1635" w:rsidRPr="00917B65">
        <w:rPr>
          <w:lang w:val="en-029"/>
        </w:rPr>
        <w:t xml:space="preserve"> </w:t>
      </w:r>
      <w:r w:rsidR="00917B65" w:rsidRPr="00917B65">
        <w:rPr>
          <w:lang w:val="en-029"/>
        </w:rPr>
        <w:t>C</w:t>
      </w:r>
      <w:r w:rsidR="00CB1635" w:rsidRPr="00917B65">
        <w:rPr>
          <w:lang w:val="en-029"/>
        </w:rPr>
        <w:t>hallenge</w:t>
      </w:r>
      <w:r w:rsidR="00CE4123">
        <w:rPr>
          <w:lang w:val="en-029"/>
        </w:rPr>
        <w:t xml:space="preserve"> Initiative</w:t>
      </w:r>
      <w:r w:rsidR="00CB1635" w:rsidRPr="00917B65">
        <w:rPr>
          <w:lang w:val="en-029"/>
        </w:rPr>
        <w:t xml:space="preserve"> started in January 2011 with </w:t>
      </w:r>
      <w:r w:rsidR="00917B65" w:rsidRPr="00917B65">
        <w:rPr>
          <w:lang w:val="en-029"/>
        </w:rPr>
        <w:t xml:space="preserve">the </w:t>
      </w:r>
      <w:r w:rsidR="00CB1635" w:rsidRPr="00917B65">
        <w:rPr>
          <w:lang w:val="en-029"/>
        </w:rPr>
        <w:t xml:space="preserve">core science team </w:t>
      </w:r>
      <w:r w:rsidR="00917B65" w:rsidRPr="00917B65">
        <w:rPr>
          <w:lang w:val="en-029"/>
        </w:rPr>
        <w:t xml:space="preserve">meeting to </w:t>
      </w:r>
      <w:r w:rsidR="00CB1635" w:rsidRPr="00917B65">
        <w:rPr>
          <w:lang w:val="en-029"/>
        </w:rPr>
        <w:t>plan</w:t>
      </w:r>
      <w:r w:rsidR="00917B65" w:rsidRPr="00917B65">
        <w:rPr>
          <w:lang w:val="en-029"/>
        </w:rPr>
        <w:t xml:space="preserve"> the </w:t>
      </w:r>
      <w:r w:rsidR="00CB1635" w:rsidRPr="00917B65">
        <w:rPr>
          <w:lang w:val="en-029"/>
        </w:rPr>
        <w:t xml:space="preserve">timeline and objectives for the entire exercise. This planning session was guided by lessons learnt from the Forever Costa Rica, the Coral Triangle </w:t>
      </w:r>
      <w:r w:rsidR="002D5408">
        <w:rPr>
          <w:lang w:val="en-029"/>
        </w:rPr>
        <w:t xml:space="preserve">Initiative </w:t>
      </w:r>
      <w:r w:rsidR="00CB1635" w:rsidRPr="00917B65">
        <w:rPr>
          <w:lang w:val="en-029"/>
        </w:rPr>
        <w:t xml:space="preserve">and Micronesia Challenge measures </w:t>
      </w:r>
      <w:r w:rsidR="002D5408">
        <w:rPr>
          <w:lang w:val="en-029"/>
        </w:rPr>
        <w:t>development</w:t>
      </w:r>
      <w:r w:rsidR="00CB1635" w:rsidRPr="00917B65">
        <w:rPr>
          <w:lang w:val="en-029"/>
        </w:rPr>
        <w:t>, TNC’s measures business plan and the wider practice of results</w:t>
      </w:r>
      <w:r>
        <w:rPr>
          <w:lang w:val="en-029"/>
        </w:rPr>
        <w:t>-</w:t>
      </w:r>
      <w:r w:rsidR="00CB1635" w:rsidRPr="00917B65">
        <w:rPr>
          <w:lang w:val="en-029"/>
        </w:rPr>
        <w:t>based management.</w:t>
      </w:r>
    </w:p>
    <w:p w:rsidR="000B35E9" w:rsidRDefault="00822697">
      <w:pPr>
        <w:rPr>
          <w:lang w:val="en-029"/>
        </w:rPr>
      </w:pPr>
      <w:r>
        <w:rPr>
          <w:lang w:val="en-029"/>
        </w:rPr>
        <w:t>T</w:t>
      </w:r>
      <w:r w:rsidR="00CB1635" w:rsidRPr="00917B65">
        <w:rPr>
          <w:lang w:val="en-029"/>
        </w:rPr>
        <w:t xml:space="preserve">he </w:t>
      </w:r>
      <w:r w:rsidR="00917B65" w:rsidRPr="00917B65">
        <w:rPr>
          <w:lang w:val="en-029"/>
        </w:rPr>
        <w:t xml:space="preserve">Dominican Republic </w:t>
      </w:r>
      <w:r w:rsidR="00450955">
        <w:rPr>
          <w:lang w:val="en-029"/>
        </w:rPr>
        <w:t>(DR)</w:t>
      </w:r>
      <w:r w:rsidR="00641099">
        <w:rPr>
          <w:lang w:val="en-029"/>
        </w:rPr>
        <w:t xml:space="preserve"> </w:t>
      </w:r>
      <w:r w:rsidR="00917B65" w:rsidRPr="00917B65">
        <w:rPr>
          <w:lang w:val="en-029"/>
        </w:rPr>
        <w:t xml:space="preserve">was used as a pilot </w:t>
      </w:r>
      <w:r w:rsidR="005160F5">
        <w:rPr>
          <w:lang w:val="en-029"/>
        </w:rPr>
        <w:t xml:space="preserve">project </w:t>
      </w:r>
      <w:r w:rsidR="00917B65" w:rsidRPr="00917B65">
        <w:rPr>
          <w:lang w:val="en-029"/>
        </w:rPr>
        <w:t xml:space="preserve">since </w:t>
      </w:r>
      <w:r w:rsidR="00917B65">
        <w:rPr>
          <w:lang w:val="en-029"/>
        </w:rPr>
        <w:t xml:space="preserve">it was relatively far advanced in </w:t>
      </w:r>
      <w:r w:rsidR="005160F5">
        <w:rPr>
          <w:lang w:val="en-029"/>
        </w:rPr>
        <w:t xml:space="preserve">the development </w:t>
      </w:r>
      <w:r w:rsidR="00F11F4B">
        <w:rPr>
          <w:lang w:val="en-029"/>
        </w:rPr>
        <w:t>of its</w:t>
      </w:r>
      <w:r>
        <w:rPr>
          <w:lang w:val="en-029"/>
        </w:rPr>
        <w:t xml:space="preserve"> </w:t>
      </w:r>
      <w:r w:rsidR="00917B65">
        <w:rPr>
          <w:lang w:val="en-029"/>
        </w:rPr>
        <w:t>strategies and objectives</w:t>
      </w:r>
      <w:r>
        <w:rPr>
          <w:lang w:val="en-029"/>
        </w:rPr>
        <w:t xml:space="preserve"> under the CCI</w:t>
      </w:r>
      <w:r w:rsidR="00720577">
        <w:rPr>
          <w:lang w:val="en-029"/>
        </w:rPr>
        <w:t xml:space="preserve">. </w:t>
      </w:r>
      <w:r w:rsidR="005160F5">
        <w:rPr>
          <w:lang w:val="en-029"/>
        </w:rPr>
        <w:t>In addition, t</w:t>
      </w:r>
      <w:r w:rsidR="00720577">
        <w:rPr>
          <w:lang w:val="en-029"/>
        </w:rPr>
        <w:t>he programme also needed to develop a measures framework for two very large projects</w:t>
      </w:r>
      <w:r w:rsidR="00C229A6">
        <w:rPr>
          <w:lang w:val="en-029"/>
        </w:rPr>
        <w:t xml:space="preserve"> being implemented in the DR</w:t>
      </w:r>
      <w:r w:rsidR="00720577">
        <w:rPr>
          <w:lang w:val="en-029"/>
        </w:rPr>
        <w:t xml:space="preserve">: </w:t>
      </w:r>
      <w:r w:rsidR="00720577">
        <w:t>USAID-funded Environmental Protection Programme and a GEF full size biodiversity project</w:t>
      </w:r>
      <w:r w:rsidR="00917B65">
        <w:rPr>
          <w:lang w:val="en-029"/>
        </w:rPr>
        <w:t xml:space="preserve">. The </w:t>
      </w:r>
      <w:r w:rsidR="00CB1635" w:rsidRPr="00917B65">
        <w:rPr>
          <w:lang w:val="en-029"/>
        </w:rPr>
        <w:t>pilot</w:t>
      </w:r>
      <w:r w:rsidR="004D34AE" w:rsidRPr="00917B65">
        <w:rPr>
          <w:lang w:val="en-029"/>
        </w:rPr>
        <w:t xml:space="preserve"> was aimed at determining the best process for integrating and aligning high level </w:t>
      </w:r>
      <w:r w:rsidR="00F9702A">
        <w:rPr>
          <w:lang w:val="en-029"/>
        </w:rPr>
        <w:t xml:space="preserve">Caribbean Challenge Initiative </w:t>
      </w:r>
      <w:r w:rsidR="004D34AE" w:rsidRPr="00917B65">
        <w:rPr>
          <w:lang w:val="en-029"/>
        </w:rPr>
        <w:t xml:space="preserve">strategies with the on-the ground priorities and strategies at the country </w:t>
      </w:r>
      <w:r w:rsidR="00450955">
        <w:rPr>
          <w:lang w:val="en-029"/>
        </w:rPr>
        <w:t>and site</w:t>
      </w:r>
      <w:r w:rsidR="004D34AE" w:rsidRPr="00917B65">
        <w:rPr>
          <w:lang w:val="en-029"/>
        </w:rPr>
        <w:t xml:space="preserve"> level</w:t>
      </w:r>
      <w:r w:rsidR="00917B65">
        <w:rPr>
          <w:lang w:val="en-029"/>
        </w:rPr>
        <w:t xml:space="preserve">. </w:t>
      </w:r>
      <w:r w:rsidR="00F037EF" w:rsidRPr="00917B65">
        <w:rPr>
          <w:lang w:val="en-029"/>
        </w:rPr>
        <w:t xml:space="preserve">For each of the two strategies, Specific, Measurable, Achievable, Relevant, </w:t>
      </w:r>
      <w:r w:rsidR="00450955">
        <w:rPr>
          <w:lang w:val="en-029"/>
        </w:rPr>
        <w:t xml:space="preserve">and </w:t>
      </w:r>
      <w:r w:rsidR="00F037EF" w:rsidRPr="00917B65">
        <w:rPr>
          <w:lang w:val="en-029"/>
        </w:rPr>
        <w:t>Time-limited (SMART) objectives were drafted as well as a monitoring plan for site, national</w:t>
      </w:r>
      <w:r w:rsidR="00E61538">
        <w:rPr>
          <w:lang w:val="en-029"/>
        </w:rPr>
        <w:t>,</w:t>
      </w:r>
      <w:r w:rsidR="00F037EF" w:rsidRPr="00917B65">
        <w:rPr>
          <w:lang w:val="en-029"/>
        </w:rPr>
        <w:t xml:space="preserve"> and regional scales</w:t>
      </w:r>
      <w:r w:rsidR="00641099">
        <w:rPr>
          <w:lang w:val="en-029"/>
        </w:rPr>
        <w:t>,</w:t>
      </w:r>
      <w:r w:rsidR="00F037EF" w:rsidRPr="00917B65">
        <w:rPr>
          <w:lang w:val="en-029"/>
        </w:rPr>
        <w:t xml:space="preserve"> where applicable.</w:t>
      </w:r>
      <w:r w:rsidR="00CB1635" w:rsidRPr="00917B65">
        <w:rPr>
          <w:lang w:val="en-029"/>
        </w:rPr>
        <w:t xml:space="preserve"> </w:t>
      </w:r>
    </w:p>
    <w:p w:rsidR="00F91014" w:rsidRDefault="000B35E9">
      <w:pPr>
        <w:rPr>
          <w:lang w:val="en-029"/>
        </w:rPr>
      </w:pPr>
      <w:r>
        <w:rPr>
          <w:lang w:val="en-029"/>
        </w:rPr>
        <w:t>The DR pilot was conducted by a small working group (comprising one DR conservation staff and 3 members of the regional science team) via email and web-based conferencing. The main output</w:t>
      </w:r>
      <w:r w:rsidR="00641099">
        <w:rPr>
          <w:lang w:val="en-029"/>
        </w:rPr>
        <w:t>s</w:t>
      </w:r>
      <w:r>
        <w:rPr>
          <w:lang w:val="en-029"/>
        </w:rPr>
        <w:t xml:space="preserve"> between January and March were a draft </w:t>
      </w:r>
      <w:r w:rsidR="00822697">
        <w:rPr>
          <w:lang w:val="en-029"/>
        </w:rPr>
        <w:t>measures document for C</w:t>
      </w:r>
      <w:r w:rsidR="00450955">
        <w:rPr>
          <w:lang w:val="en-029"/>
        </w:rPr>
        <w:t>C</w:t>
      </w:r>
      <w:r w:rsidR="00822697">
        <w:rPr>
          <w:lang w:val="en-029"/>
        </w:rPr>
        <w:t>I</w:t>
      </w:r>
      <w:r>
        <w:rPr>
          <w:lang w:val="en-029"/>
        </w:rPr>
        <w:t xml:space="preserve"> implementation in t</w:t>
      </w:r>
      <w:r w:rsidR="003B5D6F">
        <w:rPr>
          <w:lang w:val="en-029"/>
        </w:rPr>
        <w:t>h</w:t>
      </w:r>
      <w:r>
        <w:rPr>
          <w:lang w:val="en-029"/>
        </w:rPr>
        <w:t xml:space="preserve">e DR and </w:t>
      </w:r>
      <w:r w:rsidR="003B5D6F">
        <w:rPr>
          <w:lang w:val="en-029"/>
        </w:rPr>
        <w:t xml:space="preserve">corresponding </w:t>
      </w:r>
      <w:r>
        <w:rPr>
          <w:lang w:val="en-029"/>
        </w:rPr>
        <w:t xml:space="preserve">Miradi results chains. These were reviewed at a regional workshop </w:t>
      </w:r>
      <w:r w:rsidR="00E30784">
        <w:rPr>
          <w:lang w:val="en-029"/>
        </w:rPr>
        <w:t xml:space="preserve">attended by </w:t>
      </w:r>
      <w:r>
        <w:rPr>
          <w:lang w:val="en-029"/>
        </w:rPr>
        <w:t xml:space="preserve">over 30 TNC staff. </w:t>
      </w:r>
      <w:r w:rsidR="00E30784">
        <w:rPr>
          <w:lang w:val="en-029"/>
        </w:rPr>
        <w:t>The</w:t>
      </w:r>
      <w:r>
        <w:rPr>
          <w:lang w:val="en-029"/>
        </w:rPr>
        <w:t xml:space="preserve"> workshop </w:t>
      </w:r>
      <w:r w:rsidR="00E30784">
        <w:rPr>
          <w:lang w:val="en-029"/>
        </w:rPr>
        <w:t xml:space="preserve">provided an opportunity to refine </w:t>
      </w:r>
      <w:r>
        <w:rPr>
          <w:lang w:val="en-029"/>
        </w:rPr>
        <w:t xml:space="preserve">key </w:t>
      </w:r>
      <w:r w:rsidR="00822697">
        <w:rPr>
          <w:lang w:val="en-029"/>
        </w:rPr>
        <w:t xml:space="preserve">CCI </w:t>
      </w:r>
      <w:r>
        <w:rPr>
          <w:lang w:val="en-029"/>
        </w:rPr>
        <w:t xml:space="preserve">strategies </w:t>
      </w:r>
      <w:r w:rsidR="00720577">
        <w:rPr>
          <w:lang w:val="en-029"/>
        </w:rPr>
        <w:t xml:space="preserve">as this was the </w:t>
      </w:r>
      <w:r w:rsidR="00720577">
        <w:t xml:space="preserve">first science meeting </w:t>
      </w:r>
      <w:r w:rsidR="00641099">
        <w:t xml:space="preserve">for </w:t>
      </w:r>
      <w:r w:rsidR="00720577">
        <w:t xml:space="preserve">the Caribbean Programme since the launch of the </w:t>
      </w:r>
      <w:r w:rsidR="00F9702A">
        <w:t xml:space="preserve">Caribbean Challenge Initiative </w:t>
      </w:r>
      <w:r w:rsidR="00720577">
        <w:t xml:space="preserve">in 2008. Additionally, </w:t>
      </w:r>
      <w:r w:rsidR="00822697">
        <w:t>“</w:t>
      </w:r>
      <w:r w:rsidR="000D23F9">
        <w:rPr>
          <w:lang w:val="en-029"/>
        </w:rPr>
        <w:t>national</w:t>
      </w:r>
      <w:r w:rsidR="00822697">
        <w:rPr>
          <w:lang w:val="en-029"/>
        </w:rPr>
        <w:t>”</w:t>
      </w:r>
      <w:r>
        <w:rPr>
          <w:lang w:val="en-029"/>
        </w:rPr>
        <w:t xml:space="preserve"> objectives were drafted for </w:t>
      </w:r>
      <w:r w:rsidR="00822697">
        <w:rPr>
          <w:lang w:val="en-029"/>
        </w:rPr>
        <w:t>the</w:t>
      </w:r>
      <w:r w:rsidR="004D0557">
        <w:rPr>
          <w:lang w:val="en-029"/>
        </w:rPr>
        <w:t xml:space="preserve"> </w:t>
      </w:r>
      <w:r w:rsidR="00F9702A">
        <w:rPr>
          <w:lang w:val="en-029"/>
        </w:rPr>
        <w:t xml:space="preserve">Caribbean Challenge Initiative </w:t>
      </w:r>
      <w:r w:rsidR="004D0557">
        <w:rPr>
          <w:lang w:val="en-029"/>
        </w:rPr>
        <w:t>geographi</w:t>
      </w:r>
      <w:r w:rsidR="00822697">
        <w:rPr>
          <w:lang w:val="en-029"/>
        </w:rPr>
        <w:t>c groups</w:t>
      </w:r>
      <w:r w:rsidR="00E809F7">
        <w:rPr>
          <w:lang w:val="en-029"/>
        </w:rPr>
        <w:t xml:space="preserve"> or “geographies”</w:t>
      </w:r>
      <w:r w:rsidR="004D0557">
        <w:rPr>
          <w:lang w:val="en-029"/>
        </w:rPr>
        <w:t xml:space="preserve">: </w:t>
      </w:r>
      <w:r w:rsidR="00380811">
        <w:rPr>
          <w:lang w:val="en-029"/>
        </w:rPr>
        <w:t xml:space="preserve">The </w:t>
      </w:r>
      <w:r w:rsidR="004D0557">
        <w:rPr>
          <w:lang w:val="en-029"/>
        </w:rPr>
        <w:t xml:space="preserve">Bahamas, Dominican Republic, Jamaica, </w:t>
      </w:r>
      <w:proofErr w:type="gramStart"/>
      <w:r w:rsidR="004D0557">
        <w:rPr>
          <w:lang w:val="en-029"/>
        </w:rPr>
        <w:t>the</w:t>
      </w:r>
      <w:proofErr w:type="gramEnd"/>
      <w:r w:rsidR="004D0557">
        <w:rPr>
          <w:lang w:val="en-029"/>
        </w:rPr>
        <w:t xml:space="preserve"> Eastern Caribbean </w:t>
      </w:r>
      <w:r w:rsidR="00822697">
        <w:rPr>
          <w:lang w:val="en-029"/>
        </w:rPr>
        <w:t xml:space="preserve">(5 countries) </w:t>
      </w:r>
      <w:r w:rsidR="004D0557">
        <w:rPr>
          <w:lang w:val="en-029"/>
        </w:rPr>
        <w:t>and Overseas territories</w:t>
      </w:r>
      <w:r w:rsidR="000D23F9">
        <w:rPr>
          <w:lang w:val="en-029"/>
        </w:rPr>
        <w:t xml:space="preserve"> (see Appendix II)</w:t>
      </w:r>
      <w:r>
        <w:rPr>
          <w:lang w:val="en-029"/>
        </w:rPr>
        <w:t xml:space="preserve">. </w:t>
      </w:r>
    </w:p>
    <w:p w:rsidR="006D4FB6" w:rsidRDefault="006D4FB6" w:rsidP="006D4FB6">
      <w:pPr>
        <w:rPr>
          <w:b/>
        </w:rPr>
      </w:pPr>
    </w:p>
    <w:p w:rsidR="00F91014" w:rsidRPr="006D4FB6" w:rsidRDefault="002D5408" w:rsidP="006D4FB6">
      <w:pPr>
        <w:pStyle w:val="Heading2"/>
        <w:rPr>
          <w:lang w:val="en-029"/>
        </w:rPr>
      </w:pPr>
      <w:bookmarkStart w:id="11" w:name="_Toc295219025"/>
      <w:r>
        <w:rPr>
          <w:lang w:val="en-029"/>
        </w:rPr>
        <w:t xml:space="preserve">Strategy Effectiveness Measures: </w:t>
      </w:r>
      <w:r w:rsidR="006D4FB6" w:rsidRPr="006D4FB6">
        <w:rPr>
          <w:lang w:val="en-029"/>
        </w:rPr>
        <w:t>Sustainable Financing of Protected Areas</w:t>
      </w:r>
      <w:bookmarkEnd w:id="11"/>
    </w:p>
    <w:p w:rsidR="00232AB5" w:rsidRDefault="00232AB5" w:rsidP="00232AB5"/>
    <w:p w:rsidR="00232AB5" w:rsidRDefault="00232AB5" w:rsidP="00232AB5">
      <w:pPr>
        <w:rPr>
          <w:i/>
        </w:rPr>
      </w:pPr>
      <w:r w:rsidRPr="00D2570C">
        <w:t xml:space="preserve">Strategy summary: </w:t>
      </w:r>
      <w:r w:rsidRPr="006D4FB6">
        <w:rPr>
          <w:i/>
        </w:rPr>
        <w:t>This strategy includes the development of National Protected Areas Trust Fund</w:t>
      </w:r>
      <w:r w:rsidR="00E61538">
        <w:rPr>
          <w:i/>
        </w:rPr>
        <w:t>s</w:t>
      </w:r>
      <w:r w:rsidRPr="006D4FB6">
        <w:rPr>
          <w:i/>
        </w:rPr>
        <w:t xml:space="preserve"> (NPATF</w:t>
      </w:r>
      <w:r w:rsidR="00822697">
        <w:rPr>
          <w:i/>
        </w:rPr>
        <w:t>s</w:t>
      </w:r>
      <w:r w:rsidRPr="006D4FB6">
        <w:rPr>
          <w:i/>
        </w:rPr>
        <w:t>)</w:t>
      </w:r>
      <w:r w:rsidR="00F11F4B" w:rsidRPr="006D4FB6">
        <w:rPr>
          <w:i/>
        </w:rPr>
        <w:t>, which</w:t>
      </w:r>
      <w:r w:rsidRPr="006D4FB6">
        <w:rPr>
          <w:i/>
        </w:rPr>
        <w:t xml:space="preserve"> will receive proceeds of the regional Caribbean Biodiversity Fund (CBF), combined with </w:t>
      </w:r>
      <w:r w:rsidR="00F029D1">
        <w:rPr>
          <w:i/>
        </w:rPr>
        <w:t>other revenues, such as</w:t>
      </w:r>
      <w:r w:rsidR="001D5619" w:rsidRPr="006D4FB6" w:rsidDel="001D5619">
        <w:rPr>
          <w:i/>
        </w:rPr>
        <w:t xml:space="preserve"> </w:t>
      </w:r>
      <w:r w:rsidRPr="006D4FB6">
        <w:rPr>
          <w:i/>
        </w:rPr>
        <w:t>from new local conservation finance mechanisms (</w:t>
      </w:r>
      <w:r w:rsidRPr="006D4FB6">
        <w:rPr>
          <w:bCs/>
          <w:i/>
        </w:rPr>
        <w:t xml:space="preserve">such as conservation fees, tourism fees, water funds, payment for environmental services, debt swaps) and supported by economic valuation studies </w:t>
      </w:r>
      <w:r w:rsidRPr="006D4FB6">
        <w:rPr>
          <w:i/>
        </w:rPr>
        <w:t>to fund the protected area system.</w:t>
      </w:r>
    </w:p>
    <w:p w:rsidR="00452A9D" w:rsidRDefault="00452A9D" w:rsidP="00232AB5">
      <w:pPr>
        <w:rPr>
          <w:i/>
        </w:rPr>
      </w:pPr>
    </w:p>
    <w:p w:rsidR="00695062" w:rsidRDefault="00452A9D" w:rsidP="00695062">
      <w:pPr>
        <w:keepNext/>
      </w:pPr>
      <w:commentRangeStart w:id="12"/>
      <w:r>
        <w:rPr>
          <w:noProof/>
          <w:color w:val="1F497D"/>
        </w:rPr>
        <w:lastRenderedPageBreak/>
        <w:drawing>
          <wp:inline distT="0" distB="0" distL="0" distR="0">
            <wp:extent cx="6035040" cy="2233368"/>
            <wp:effectExtent l="19050" t="19050" r="22860" b="14532"/>
            <wp:docPr id="18" name="Picture 4" descr="cid:image003.png@01CC1C5B.72A99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C1C5B.72A995E0"/>
                    <pic:cNvPicPr>
                      <a:picLocks noChangeAspect="1" noChangeArrowheads="1"/>
                    </pic:cNvPicPr>
                  </pic:nvPicPr>
                  <pic:blipFill>
                    <a:blip r:embed="rId19" r:link="rId20" cstate="screen"/>
                    <a:srcRect/>
                    <a:stretch>
                      <a:fillRect/>
                    </a:stretch>
                  </pic:blipFill>
                  <pic:spPr bwMode="auto">
                    <a:xfrm>
                      <a:off x="0" y="0"/>
                      <a:ext cx="6035040" cy="2233368"/>
                    </a:xfrm>
                    <a:prstGeom prst="rect">
                      <a:avLst/>
                    </a:prstGeom>
                    <a:noFill/>
                    <a:ln w="9525">
                      <a:solidFill>
                        <a:schemeClr val="tx1"/>
                      </a:solidFill>
                      <a:miter lim="800000"/>
                      <a:headEnd/>
                      <a:tailEnd/>
                    </a:ln>
                  </pic:spPr>
                </pic:pic>
              </a:graphicData>
            </a:graphic>
          </wp:inline>
        </w:drawing>
      </w:r>
      <w:commentRangeEnd w:id="12"/>
      <w:r w:rsidR="00F86F9A">
        <w:rPr>
          <w:rStyle w:val="CommentReference"/>
        </w:rPr>
        <w:commentReference w:id="12"/>
      </w:r>
    </w:p>
    <w:p w:rsidR="00452A9D" w:rsidRPr="006D4FB6" w:rsidRDefault="00695062" w:rsidP="00695062">
      <w:pPr>
        <w:pStyle w:val="Caption"/>
        <w:rPr>
          <w:b w:val="0"/>
        </w:rPr>
      </w:pPr>
      <w:r>
        <w:t xml:space="preserve">Figure </w:t>
      </w:r>
      <w:fldSimple w:instr=" SEQ Figure \* ARABIC ">
        <w:r>
          <w:rPr>
            <w:noProof/>
          </w:rPr>
          <w:t>2</w:t>
        </w:r>
      </w:fldSimple>
      <w:r w:rsidRPr="00695062">
        <w:rPr>
          <w:color w:val="1F497D"/>
        </w:rPr>
        <w:t xml:space="preserve"> </w:t>
      </w:r>
      <w:r w:rsidR="00822697">
        <w:rPr>
          <w:color w:val="1F497D"/>
        </w:rPr>
        <w:t xml:space="preserve">Funding gap in CCI countries </w:t>
      </w:r>
      <w:r>
        <w:rPr>
          <w:color w:val="1F497D"/>
        </w:rPr>
        <w:t>based on information contained in GEF documents (UNDP Financial Scorecards) for Bahamas</w:t>
      </w:r>
      <w:r w:rsidR="00A94A83">
        <w:rPr>
          <w:color w:val="1F497D"/>
        </w:rPr>
        <w:t>(2006)</w:t>
      </w:r>
      <w:r>
        <w:rPr>
          <w:color w:val="1F497D"/>
        </w:rPr>
        <w:t>, D</w:t>
      </w:r>
      <w:r w:rsidR="00A94A83">
        <w:rPr>
          <w:color w:val="1F497D"/>
        </w:rPr>
        <w:t xml:space="preserve">ominican </w:t>
      </w:r>
      <w:r>
        <w:rPr>
          <w:color w:val="1F497D"/>
        </w:rPr>
        <w:t>R</w:t>
      </w:r>
      <w:r w:rsidR="00A94A83">
        <w:rPr>
          <w:color w:val="1F497D"/>
        </w:rPr>
        <w:t>epublic (2007)</w:t>
      </w:r>
      <w:r>
        <w:rPr>
          <w:color w:val="1F497D"/>
        </w:rPr>
        <w:t xml:space="preserve">, and Jamaica </w:t>
      </w:r>
      <w:r w:rsidR="00A94A83">
        <w:rPr>
          <w:color w:val="1F497D"/>
        </w:rPr>
        <w:t>(2008)</w:t>
      </w:r>
      <w:r>
        <w:rPr>
          <w:color w:val="1F497D"/>
        </w:rPr>
        <w:t xml:space="preserve">and/or completed Sustainable Finance Plans for National Systems of PAs  for Grenada </w:t>
      </w:r>
      <w:r w:rsidR="00A94A83">
        <w:rPr>
          <w:color w:val="1F497D"/>
        </w:rPr>
        <w:t>(2004)</w:t>
      </w:r>
      <w:r>
        <w:rPr>
          <w:color w:val="1F497D"/>
        </w:rPr>
        <w:t>and St. Vincent</w:t>
      </w:r>
      <w:r w:rsidR="00A94A83">
        <w:rPr>
          <w:color w:val="1F497D"/>
        </w:rPr>
        <w:t>(2005).</w:t>
      </w:r>
      <w:r>
        <w:rPr>
          <w:color w:val="1F497D"/>
        </w:rPr>
        <w:t xml:space="preserve"> N.B. this does not take into account the expanded MPA system – although for both Grenada &amp; St. Vincent a linear estimate of the funds necessary </w:t>
      </w:r>
      <w:r w:rsidR="00A94A83">
        <w:rPr>
          <w:color w:val="1F497D"/>
        </w:rPr>
        <w:t xml:space="preserve">was developed </w:t>
      </w:r>
      <w:r>
        <w:rPr>
          <w:color w:val="1F497D"/>
        </w:rPr>
        <w:t>with an expanded P</w:t>
      </w:r>
      <w:r w:rsidR="00A94A83">
        <w:rPr>
          <w:color w:val="1F497D"/>
        </w:rPr>
        <w:t xml:space="preserve">A </w:t>
      </w:r>
      <w:r>
        <w:rPr>
          <w:color w:val="1F497D"/>
        </w:rPr>
        <w:t>system and taking into account inflation</w:t>
      </w:r>
      <w:r w:rsidR="00A94A83">
        <w:rPr>
          <w:color w:val="1F497D"/>
        </w:rPr>
        <w:t>.</w:t>
      </w:r>
    </w:p>
    <w:p w:rsidR="006D4FB6" w:rsidRDefault="006D4FB6" w:rsidP="006D4FB6">
      <w:pPr>
        <w:rPr>
          <w:b/>
        </w:rPr>
      </w:pPr>
    </w:p>
    <w:p w:rsidR="00344EB1" w:rsidRDefault="00F86F9A" w:rsidP="00344EB1">
      <w:pPr>
        <w:rPr>
          <w:lang w:val="en-029"/>
        </w:rPr>
      </w:pPr>
      <w:r>
        <w:rPr>
          <w:lang w:val="en-029"/>
        </w:rPr>
        <w:t xml:space="preserve">The sustainable finance strategy’s will fill existing funding gaps for  </w:t>
      </w:r>
      <w:r w:rsidR="00344EB1" w:rsidRPr="000C7C14">
        <w:rPr>
          <w:lang w:val="en-029"/>
        </w:rPr>
        <w:t xml:space="preserve">A key component of providing sustainable financing to the eight countries participating in the </w:t>
      </w:r>
      <w:r w:rsidR="00344EB1">
        <w:rPr>
          <w:lang w:val="en-029"/>
        </w:rPr>
        <w:t xml:space="preserve">Caribbean Challenge Initiative </w:t>
      </w:r>
      <w:r w:rsidR="00344EB1" w:rsidRPr="000C7C14">
        <w:rPr>
          <w:lang w:val="en-029"/>
        </w:rPr>
        <w:t>is the creation of the Caribbean Biodiversity Fund (CBF).  The CBF is an eight country regional endowment, with an initial capitalization goal of US$ 40 million. This endowment will fund the National level Protected Area Trust Funds (NPATFs) of the participating countries. The table below demonstrates how the donor grants are being allocated to the countries as separate endowments within the CBF.</w:t>
      </w:r>
    </w:p>
    <w:p w:rsidR="00344EB1" w:rsidRDefault="00344EB1" w:rsidP="00344EB1">
      <w:pPr>
        <w:rPr>
          <w:lang w:val="en-029"/>
        </w:rPr>
      </w:pPr>
      <w:r w:rsidRPr="000C7C14">
        <w:rPr>
          <w:lang w:val="en-029"/>
        </w:rPr>
        <w:t xml:space="preserve">Three national GEF projects to capitalize the CBF and launch on-the-ground PA activities (in </w:t>
      </w:r>
      <w:r>
        <w:rPr>
          <w:lang w:val="en-029"/>
        </w:rPr>
        <w:t>T</w:t>
      </w:r>
      <w:r w:rsidRPr="000C7C14">
        <w:rPr>
          <w:lang w:val="en-029"/>
        </w:rPr>
        <w:t xml:space="preserve">he Bahamas, Dominican Republic, and Jamaica) are currently in implementation. The sub-regional project for the five countries of the Eastern Caribbean will be submitted to the GEF Council for approval in early 2011.  Starting in 2010, the Conservancy has worked with a Trust Fund Specialist (funded by KfW) and a pro bono legal team from the law firm of Ropes and Gray  as well as the eight participating countries, KfW, the World Bank (Implementing Agency for the Eastern Caribbean sub-regional GEF project), the United Nations Development Programme (Implementing Agency for the Dominican Republic and Jamaica GEF projects), and the United Nations Environment Programme (Implementing Agency for </w:t>
      </w:r>
      <w:r>
        <w:rPr>
          <w:lang w:val="en-029"/>
        </w:rPr>
        <w:t>T</w:t>
      </w:r>
      <w:r w:rsidRPr="000C7C14">
        <w:rPr>
          <w:lang w:val="en-029"/>
        </w:rPr>
        <w:t>he Bahamas GEF project) to draft various documents related to the creation of the CBF and National Protected Areas Trust Funds (NPATFs). Critical documents include:  the CBF Articles of Incorporation, CBF Investment Strategy, CBF Operations Manual, model NPATF legislation and by-laws, and a Vertical Agreement (which links the CBF to the NPATFs).</w:t>
      </w:r>
    </w:p>
    <w:p w:rsidR="00344EB1" w:rsidRDefault="00344EB1" w:rsidP="00344EB1">
      <w:pPr>
        <w:rPr>
          <w:lang w:val="en-029"/>
        </w:rPr>
      </w:pPr>
    </w:p>
    <w:p w:rsidR="00344EB1" w:rsidRDefault="00344EB1" w:rsidP="00344EB1">
      <w:pPr>
        <w:rPr>
          <w:lang w:val="en-029"/>
        </w:rPr>
        <w:sectPr w:rsidR="00344EB1" w:rsidSect="00CB64B6">
          <w:pgSz w:w="12240" w:h="15840"/>
          <w:pgMar w:top="1440" w:right="1440" w:bottom="1440" w:left="1440" w:header="720" w:footer="720" w:gutter="0"/>
          <w:cols w:space="720"/>
          <w:docGrid w:linePitch="360"/>
        </w:sectPr>
      </w:pPr>
    </w:p>
    <w:p w:rsidR="00344EB1" w:rsidRDefault="00344EB1" w:rsidP="006D4FB6">
      <w:pPr>
        <w:rPr>
          <w:b/>
        </w:rPr>
      </w:pPr>
    </w:p>
    <w:p w:rsidR="006D4FB6" w:rsidRDefault="00F9702A" w:rsidP="006D3D86">
      <w:pPr>
        <w:rPr>
          <w:lang w:val="en-029"/>
        </w:rPr>
      </w:pPr>
      <w:r>
        <w:rPr>
          <w:noProof/>
        </w:rPr>
        <w:drawing>
          <wp:inline distT="0" distB="0" distL="0" distR="0">
            <wp:extent cx="9985767" cy="4663440"/>
            <wp:effectExtent l="19050" t="0" r="0" b="0"/>
            <wp:docPr id="8" name="Picture 3" descr="Car_Chal_sust_fin_regn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_Chal_sust_fin_regnl_1.jpg"/>
                    <pic:cNvPicPr/>
                  </pic:nvPicPr>
                  <pic:blipFill>
                    <a:blip r:embed="rId21" cstate="screen"/>
                    <a:stretch>
                      <a:fillRect/>
                    </a:stretch>
                  </pic:blipFill>
                  <pic:spPr>
                    <a:xfrm>
                      <a:off x="0" y="0"/>
                      <a:ext cx="9985767" cy="4663440"/>
                    </a:xfrm>
                    <a:prstGeom prst="rect">
                      <a:avLst/>
                    </a:prstGeom>
                  </pic:spPr>
                </pic:pic>
              </a:graphicData>
            </a:graphic>
          </wp:inline>
        </w:drawing>
      </w:r>
    </w:p>
    <w:p w:rsidR="006D3D86" w:rsidRDefault="006D4FB6" w:rsidP="006D3D86">
      <w:pPr>
        <w:rPr>
          <w:lang w:val="en-029"/>
        </w:rPr>
      </w:pPr>
      <w:r w:rsidRPr="006D4FB6">
        <w:rPr>
          <w:noProof/>
        </w:rPr>
        <w:drawing>
          <wp:inline distT="0" distB="0" distL="0" distR="0">
            <wp:extent cx="2577501" cy="396815"/>
            <wp:effectExtent l="19050" t="0" r="0" b="0"/>
            <wp:docPr id="10"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77000" cy="1066800"/>
                      <a:chOff x="457200" y="304800"/>
                      <a:chExt cx="6477000" cy="1066800"/>
                    </a:xfrm>
                  </a:grpSpPr>
                  <a:grpSp>
                    <a:nvGrpSpPr>
                      <a:cNvPr id="8" name="Group 7"/>
                      <a:cNvGrpSpPr/>
                    </a:nvGrpSpPr>
                    <a:grpSpPr>
                      <a:xfrm>
                        <a:off x="457200" y="304800"/>
                        <a:ext cx="6477000" cy="1066800"/>
                        <a:chOff x="457200" y="304800"/>
                        <a:chExt cx="6477000" cy="1066800"/>
                      </a:xfrm>
                    </a:grpSpPr>
                    <a:sp>
                      <a:nvSpPr>
                        <a:cNvPr id="7" name="Rectangle 6"/>
                        <a:cNvSpPr/>
                      </a:nvSpPr>
                      <a:spPr>
                        <a:xfrm>
                          <a:off x="457200" y="304800"/>
                          <a:ext cx="6477000" cy="1066800"/>
                        </a:xfrm>
                        <a:prstGeom prst="rect">
                          <a:avLst/>
                        </a:prstGeom>
                        <a:solidFill>
                          <a:schemeClr val="bg2"/>
                        </a:solidFill>
                        <a:ln>
                          <a:no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Legend</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Hexagon 1"/>
                        <a:cNvSpPr/>
                      </a:nvSpPr>
                      <a:spPr>
                        <a:xfrm>
                          <a:off x="533400" y="746760"/>
                          <a:ext cx="1371600" cy="548640"/>
                        </a:xfrm>
                        <a:prstGeom prst="hexagon">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Strategy</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
                        <a:cNvSpPr/>
                      </a:nvSpPr>
                      <a:spPr>
                        <a:xfrm>
                          <a:off x="1981200" y="685800"/>
                          <a:ext cx="1600200" cy="612648"/>
                        </a:xfrm>
                        <a:prstGeom prst="rect">
                          <a:avLst/>
                        </a:prstGeom>
                        <a:solidFill>
                          <a:srgbClr val="A3E7FF"/>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Intermediate result</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3657600" y="685800"/>
                          <a:ext cx="1752600" cy="609600"/>
                        </a:xfrm>
                        <a:prstGeom prst="rect">
                          <a:avLst/>
                        </a:prstGeom>
                        <a:solidFill>
                          <a:schemeClr val="accent4">
                            <a:lumMod val="40000"/>
                            <a:lumOff val="6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Threat reduction result</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5486400" y="685800"/>
                          <a:ext cx="1371600" cy="609600"/>
                        </a:xfrm>
                        <a:prstGeom prst="ellipse">
                          <a:avLst/>
                        </a:prstGeom>
                        <a:solidFill>
                          <a:srgbClr val="C4E59F"/>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Target</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344EB1" w:rsidRDefault="00344EB1" w:rsidP="00344EB1">
      <w:pPr>
        <w:rPr>
          <w:lang w:val="en-029"/>
        </w:rPr>
        <w:sectPr w:rsidR="00344EB1" w:rsidSect="00344EB1">
          <w:pgSz w:w="15840" w:h="12240" w:orient="landscape"/>
          <w:pgMar w:top="1440" w:right="1440" w:bottom="1440" w:left="1440" w:header="720" w:footer="720" w:gutter="0"/>
          <w:cols w:space="720"/>
          <w:docGrid w:linePitch="360"/>
        </w:sectPr>
      </w:pPr>
    </w:p>
    <w:p w:rsidR="00344EB1" w:rsidRDefault="00344EB1" w:rsidP="00344EB1">
      <w:pPr>
        <w:rPr>
          <w:lang w:val="en-029"/>
        </w:rPr>
      </w:pPr>
    </w:p>
    <w:p w:rsidR="00344EB1" w:rsidRPr="000C7C14" w:rsidRDefault="00344EB1" w:rsidP="00344EB1">
      <w:pPr>
        <w:rPr>
          <w:lang w:val="en-029"/>
        </w:rPr>
      </w:pPr>
      <w:r w:rsidRPr="000C7C14">
        <w:rPr>
          <w:lang w:val="en-029"/>
        </w:rPr>
        <w:t xml:space="preserve">The CBF will operate from an office based in the </w:t>
      </w:r>
      <w:r w:rsidR="00B9703F">
        <w:rPr>
          <w:lang w:val="en-029"/>
        </w:rPr>
        <w:t>UK</w:t>
      </w:r>
      <w:r w:rsidRPr="000C7C14">
        <w:rPr>
          <w:lang w:val="en-029"/>
        </w:rPr>
        <w:t xml:space="preserve"> and have a </w:t>
      </w:r>
      <w:r w:rsidR="00B9703F">
        <w:rPr>
          <w:lang w:val="en-029"/>
        </w:rPr>
        <w:t xml:space="preserve">Caribbean-based </w:t>
      </w:r>
      <w:r w:rsidRPr="000C7C14">
        <w:rPr>
          <w:lang w:val="en-029"/>
        </w:rPr>
        <w:t xml:space="preserve">Secretariat to provide administrative services and day-to-day management. The Conservancy will most likely serve as the Secretariat for </w:t>
      </w:r>
      <w:r w:rsidR="00B9703F">
        <w:rPr>
          <w:lang w:val="en-029"/>
        </w:rPr>
        <w:t>a short</w:t>
      </w:r>
      <w:r>
        <w:rPr>
          <w:lang w:val="en-029"/>
        </w:rPr>
        <w:t xml:space="preserve"> </w:t>
      </w:r>
      <w:r w:rsidR="00B9703F">
        <w:rPr>
          <w:lang w:val="en-029"/>
        </w:rPr>
        <w:t>p</w:t>
      </w:r>
      <w:r>
        <w:rPr>
          <w:lang w:val="en-029"/>
        </w:rPr>
        <w:t>eriod</w:t>
      </w:r>
      <w:r w:rsidRPr="000C7C14">
        <w:rPr>
          <w:lang w:val="en-029"/>
        </w:rPr>
        <w:t xml:space="preserve"> on an “acting” basis, until the CBF Secretariat is able to hire its own staff. At a minimum, the CBF Secretariat will have an Executive Director, with other administrative needs outsourced to a financial services firm (selected through an open and transparent process). KfW has agreed to provide a €100,000 (approximately US </w:t>
      </w:r>
      <w:r>
        <w:rPr>
          <w:lang w:val="en-029"/>
        </w:rPr>
        <w:t>$</w:t>
      </w:r>
      <w:r w:rsidRPr="000C7C14">
        <w:rPr>
          <w:lang w:val="en-029"/>
        </w:rPr>
        <w:t xml:space="preserve">130,000) grant to the CBF to assist with the CBF’s start up expenses. Future CBF Secretariat expenses will be covered via retention of a small portion (estimated to be approximately 5-10%) of the CBF </w:t>
      </w:r>
      <w:r>
        <w:rPr>
          <w:lang w:val="en-029"/>
        </w:rPr>
        <w:t xml:space="preserve">annual </w:t>
      </w:r>
      <w:r w:rsidRPr="000C7C14">
        <w:rPr>
          <w:lang w:val="en-029"/>
        </w:rPr>
        <w:t>payout to the NPATFs.</w:t>
      </w:r>
    </w:p>
    <w:p w:rsidR="00344EB1" w:rsidRDefault="00344EB1" w:rsidP="00344EB1">
      <w:pPr>
        <w:rPr>
          <w:lang w:val="en-029"/>
        </w:rPr>
      </w:pPr>
    </w:p>
    <w:p w:rsidR="004D0557" w:rsidRPr="00D2570C" w:rsidRDefault="004D0557" w:rsidP="004D0557">
      <w:r w:rsidRPr="00D2570C">
        <w:rPr>
          <w:noProof/>
        </w:rPr>
        <w:drawing>
          <wp:inline distT="0" distB="0" distL="0" distR="0">
            <wp:extent cx="5943600" cy="1862894"/>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screen"/>
                    <a:srcRect/>
                    <a:stretch>
                      <a:fillRect/>
                    </a:stretch>
                  </pic:blipFill>
                  <pic:spPr bwMode="auto">
                    <a:xfrm>
                      <a:off x="0" y="0"/>
                      <a:ext cx="5943600" cy="1862894"/>
                    </a:xfrm>
                    <a:prstGeom prst="rect">
                      <a:avLst/>
                    </a:prstGeom>
                    <a:noFill/>
                    <a:ln w="9525">
                      <a:noFill/>
                      <a:miter lim="800000"/>
                      <a:headEnd/>
                      <a:tailEnd/>
                    </a:ln>
                  </pic:spPr>
                </pic:pic>
              </a:graphicData>
            </a:graphic>
          </wp:inline>
        </w:drawing>
      </w:r>
    </w:p>
    <w:p w:rsidR="007678A0" w:rsidRPr="006D3D86" w:rsidRDefault="00344EB1" w:rsidP="007678A0">
      <w:pPr>
        <w:rPr>
          <w:lang w:val="en-029"/>
        </w:rPr>
      </w:pPr>
      <w:r w:rsidRPr="000C7C14">
        <w:rPr>
          <w:lang w:val="en-029"/>
        </w:rPr>
        <w:t>Once the CBF has been officially established as a U</w:t>
      </w:r>
      <w:r>
        <w:rPr>
          <w:lang w:val="en-029"/>
        </w:rPr>
        <w:t>K</w:t>
      </w:r>
      <w:r w:rsidRPr="000C7C14">
        <w:rPr>
          <w:lang w:val="en-029"/>
        </w:rPr>
        <w:t xml:space="preserve"> U</w:t>
      </w:r>
      <w:r>
        <w:rPr>
          <w:lang w:val="en-029"/>
        </w:rPr>
        <w:t>K-</w:t>
      </w:r>
      <w:r w:rsidRPr="000C7C14">
        <w:rPr>
          <w:lang w:val="en-029"/>
        </w:rPr>
        <w:t>based charity (estimated to take approximately 3 months after initial paperwork has been filed) and the CBF Secretariat has been established, the donors may begin to pass their grants to the CBF. The Conservancy’s $8 million grant to the CBF would be payable over 4 years.</w:t>
      </w:r>
      <w:r>
        <w:rPr>
          <w:lang w:val="en-029"/>
        </w:rPr>
        <w:t xml:space="preserve">  GEF funds from the Eastern Caribbean project will be transferred to the CBF on a 1:1 basis of co-financing from KfW and TNC.  The Bahamas, Dominican Republic and Jamaica have yet to determine if their GEF funds will be transferred to the CBF.  Most likely it will be up the Boards of the NPATFs in these countries to make the decision to transfer these GEF funds to the CBF</w:t>
      </w:r>
      <w:r w:rsidRPr="000C7C14">
        <w:rPr>
          <w:lang w:val="en-029"/>
        </w:rPr>
        <w:t>.</w:t>
      </w:r>
    </w:p>
    <w:p w:rsidR="007678A0" w:rsidRDefault="007678A0" w:rsidP="007678A0">
      <w:pPr>
        <w:pStyle w:val="Caption"/>
        <w:keepNext/>
      </w:pPr>
      <w:r>
        <w:t xml:space="preserve">Table </w:t>
      </w:r>
      <w:fldSimple w:instr=" SEQ Table \* ARABIC ">
        <w:r w:rsidR="00695062">
          <w:rPr>
            <w:noProof/>
          </w:rPr>
          <w:t>1</w:t>
        </w:r>
      </w:fldSimple>
      <w:r>
        <w:t>: Strategy Effectiveness M</w:t>
      </w:r>
      <w:r w:rsidRPr="0032781E">
        <w:t xml:space="preserve">easures for </w:t>
      </w:r>
      <w:r>
        <w:t xml:space="preserve">Regional </w:t>
      </w:r>
      <w:r w:rsidRPr="0032781E">
        <w:t>Sustainable Financing of Protected Areas</w:t>
      </w:r>
    </w:p>
    <w:tbl>
      <w:tblPr>
        <w:tblW w:w="9828" w:type="dxa"/>
        <w:tblLook w:val="04A0"/>
      </w:tblPr>
      <w:tblGrid>
        <w:gridCol w:w="3078"/>
        <w:gridCol w:w="6750"/>
      </w:tblGrid>
      <w:tr w:rsidR="007678A0" w:rsidRPr="00A53731" w:rsidTr="0009007D">
        <w:trPr>
          <w:trHeight w:val="315"/>
          <w:tblHeader/>
        </w:trPr>
        <w:tc>
          <w:tcPr>
            <w:tcW w:w="9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8A0" w:rsidRPr="0032781E" w:rsidRDefault="007678A0" w:rsidP="0009007D">
            <w:pPr>
              <w:spacing w:after="0" w:line="240" w:lineRule="auto"/>
              <w:rPr>
                <w:rFonts w:ascii="Calibri" w:eastAsia="Times New Roman" w:hAnsi="Calibri" w:cs="Times New Roman"/>
                <w:b/>
                <w:bCs/>
                <w:color w:val="002060"/>
                <w:sz w:val="24"/>
                <w:szCs w:val="24"/>
              </w:rPr>
            </w:pPr>
            <w:r w:rsidRPr="0032781E">
              <w:rPr>
                <w:rFonts w:ascii="Calibri" w:eastAsia="Times New Roman" w:hAnsi="Calibri" w:cs="Times New Roman"/>
                <w:b/>
                <w:bCs/>
                <w:color w:val="002060"/>
              </w:rPr>
              <w:t xml:space="preserve">Caribbean Challenge </w:t>
            </w:r>
            <w:r w:rsidRPr="001C1667">
              <w:rPr>
                <w:rFonts w:ascii="Calibri" w:eastAsia="Times New Roman" w:hAnsi="Calibri" w:cs="Times New Roman"/>
                <w:b/>
                <w:bCs/>
                <w:color w:val="002060"/>
              </w:rPr>
              <w:t>Sustainable</w:t>
            </w:r>
            <w:r w:rsidRPr="00A53731">
              <w:rPr>
                <w:rFonts w:ascii="Calibri" w:eastAsia="Times New Roman" w:hAnsi="Calibri" w:cs="Times New Roman"/>
                <w:b/>
                <w:bCs/>
                <w:color w:val="002060"/>
              </w:rPr>
              <w:t xml:space="preserve"> Financing of PAs</w:t>
            </w:r>
            <w:r w:rsidRPr="00A53731">
              <w:rPr>
                <w:rFonts w:ascii="Calibri" w:eastAsia="Times New Roman" w:hAnsi="Calibri" w:cs="Times New Roman"/>
                <w:color w:val="002060"/>
              </w:rPr>
              <w:t>: By 2020 establish</w:t>
            </w:r>
            <w:r w:rsidR="00E5012E">
              <w:rPr>
                <w:rFonts w:ascii="Calibri" w:eastAsia="Times New Roman" w:hAnsi="Calibri" w:cs="Times New Roman"/>
                <w:color w:val="002060"/>
              </w:rPr>
              <w:t>, at the regional level,</w:t>
            </w:r>
            <w:r w:rsidRPr="00A53731">
              <w:rPr>
                <w:rFonts w:ascii="Calibri" w:eastAsia="Times New Roman" w:hAnsi="Calibri" w:cs="Times New Roman"/>
                <w:color w:val="002060"/>
              </w:rPr>
              <w:t xml:space="preserve"> dedicated and permanent sources of funding to expand and improve management effectiveness </w:t>
            </w:r>
            <w:r w:rsidR="00F11F4B" w:rsidRPr="00A53731">
              <w:rPr>
                <w:rFonts w:ascii="Calibri" w:eastAsia="Times New Roman" w:hAnsi="Calibri" w:cs="Times New Roman"/>
                <w:color w:val="002060"/>
              </w:rPr>
              <w:t xml:space="preserve">of </w:t>
            </w:r>
            <w:r w:rsidR="00F11F4B">
              <w:rPr>
                <w:rFonts w:ascii="Calibri" w:eastAsia="Times New Roman" w:hAnsi="Calibri" w:cs="Times New Roman"/>
                <w:color w:val="002060"/>
              </w:rPr>
              <w:t>national</w:t>
            </w:r>
            <w:r w:rsidR="00246EE2">
              <w:rPr>
                <w:rFonts w:ascii="Calibri" w:eastAsia="Times New Roman" w:hAnsi="Calibri" w:cs="Times New Roman"/>
                <w:color w:val="002060"/>
              </w:rPr>
              <w:t xml:space="preserve"> systems of </w:t>
            </w:r>
            <w:r w:rsidR="001D5619">
              <w:rPr>
                <w:rFonts w:ascii="Calibri" w:eastAsia="Times New Roman" w:hAnsi="Calibri" w:cs="Times New Roman"/>
                <w:color w:val="002060"/>
              </w:rPr>
              <w:t>p</w:t>
            </w:r>
            <w:r w:rsidR="001D5619" w:rsidRPr="00A53731">
              <w:rPr>
                <w:rFonts w:ascii="Calibri" w:eastAsia="Times New Roman" w:hAnsi="Calibri" w:cs="Times New Roman"/>
                <w:color w:val="002060"/>
              </w:rPr>
              <w:t xml:space="preserve">rotected </w:t>
            </w:r>
            <w:r w:rsidR="001D5619">
              <w:rPr>
                <w:rFonts w:ascii="Calibri" w:eastAsia="Times New Roman" w:hAnsi="Calibri" w:cs="Times New Roman"/>
                <w:color w:val="002060"/>
              </w:rPr>
              <w:t>a</w:t>
            </w:r>
            <w:r w:rsidR="001D5619" w:rsidRPr="00A53731">
              <w:rPr>
                <w:rFonts w:ascii="Calibri" w:eastAsia="Times New Roman" w:hAnsi="Calibri" w:cs="Times New Roman"/>
                <w:color w:val="002060"/>
              </w:rPr>
              <w:t>reas</w:t>
            </w:r>
            <w:r w:rsidR="009A0AA0">
              <w:rPr>
                <w:rFonts w:ascii="Calibri" w:eastAsia="Times New Roman" w:hAnsi="Calibri" w:cs="Times New Roman"/>
                <w:color w:val="002060"/>
              </w:rPr>
              <w:t xml:space="preserve"> </w:t>
            </w:r>
            <w:r w:rsidR="00F029D1">
              <w:rPr>
                <w:rFonts w:ascii="Calibri" w:eastAsia="Times New Roman" w:hAnsi="Calibri" w:cs="Times New Roman"/>
                <w:color w:val="002060"/>
              </w:rPr>
              <w:t>p</w:t>
            </w:r>
            <w:r w:rsidRPr="00A53731">
              <w:rPr>
                <w:rFonts w:ascii="Calibri" w:eastAsia="Times New Roman" w:hAnsi="Calibri" w:cs="Times New Roman"/>
                <w:color w:val="002060"/>
              </w:rPr>
              <w:t xml:space="preserve">rotected </w:t>
            </w:r>
            <w:r w:rsidR="00F029D1">
              <w:rPr>
                <w:rFonts w:ascii="Calibri" w:eastAsia="Times New Roman" w:hAnsi="Calibri" w:cs="Times New Roman"/>
                <w:color w:val="002060"/>
              </w:rPr>
              <w:t>a</w:t>
            </w:r>
            <w:r w:rsidRPr="00A53731">
              <w:rPr>
                <w:rFonts w:ascii="Calibri" w:eastAsia="Times New Roman" w:hAnsi="Calibri" w:cs="Times New Roman"/>
                <w:color w:val="002060"/>
              </w:rPr>
              <w:t>reas in Caribbean countries</w:t>
            </w:r>
            <w:r w:rsidR="00F029D1">
              <w:rPr>
                <w:rFonts w:ascii="Calibri" w:eastAsia="Times New Roman" w:hAnsi="Calibri" w:cs="Times New Roman"/>
                <w:color w:val="002060"/>
              </w:rPr>
              <w:t xml:space="preserve"> participating in the Challenge</w:t>
            </w:r>
            <w:r w:rsidRPr="00A53731">
              <w:rPr>
                <w:rFonts w:ascii="Calibri" w:eastAsia="Times New Roman" w:hAnsi="Calibri" w:cs="Times New Roman"/>
                <w:color w:val="002060"/>
              </w:rPr>
              <w:t>.</w:t>
            </w:r>
          </w:p>
        </w:tc>
      </w:tr>
      <w:tr w:rsidR="007678A0" w:rsidRPr="00A53731" w:rsidTr="001C1667">
        <w:trPr>
          <w:trHeight w:val="315"/>
          <w:tblHeader/>
        </w:trPr>
        <w:tc>
          <w:tcPr>
            <w:tcW w:w="3078" w:type="dxa"/>
            <w:tcBorders>
              <w:top w:val="single" w:sz="4" w:space="0" w:color="auto"/>
              <w:left w:val="single" w:sz="4" w:space="0" w:color="auto"/>
              <w:bottom w:val="single" w:sz="4" w:space="0" w:color="auto"/>
              <w:right w:val="single" w:sz="4" w:space="0" w:color="auto"/>
            </w:tcBorders>
            <w:shd w:val="clear" w:color="auto" w:fill="B4ECFC" w:themeFill="text2" w:themeFillTint="33"/>
            <w:vAlign w:val="center"/>
            <w:hideMark/>
          </w:tcPr>
          <w:p w:rsidR="007678A0" w:rsidRPr="001C1667" w:rsidRDefault="007678A0" w:rsidP="0009007D">
            <w:pPr>
              <w:spacing w:after="0" w:line="240" w:lineRule="auto"/>
              <w:jc w:val="center"/>
              <w:rPr>
                <w:rFonts w:ascii="Calibri" w:eastAsia="Times New Roman" w:hAnsi="Calibri" w:cs="Times New Roman"/>
                <w:b/>
                <w:bCs/>
                <w:sz w:val="24"/>
                <w:szCs w:val="24"/>
              </w:rPr>
            </w:pPr>
            <w:r w:rsidRPr="001C1667">
              <w:rPr>
                <w:rFonts w:ascii="Calibri" w:eastAsia="Times New Roman" w:hAnsi="Calibri" w:cs="Times New Roman"/>
                <w:b/>
                <w:bCs/>
                <w:sz w:val="24"/>
                <w:szCs w:val="24"/>
              </w:rPr>
              <w:t xml:space="preserve">Regional Objectives </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7678A0" w:rsidRPr="00A53731" w:rsidRDefault="007678A0" w:rsidP="0009007D">
            <w:pPr>
              <w:spacing w:after="0" w:line="240" w:lineRule="auto"/>
              <w:jc w:val="center"/>
              <w:rPr>
                <w:rFonts w:ascii="Calibri" w:eastAsia="Times New Roman" w:hAnsi="Calibri" w:cs="Times New Roman"/>
                <w:b/>
                <w:bCs/>
                <w:sz w:val="24"/>
                <w:szCs w:val="24"/>
              </w:rPr>
            </w:pPr>
            <w:r w:rsidRPr="00A53731">
              <w:rPr>
                <w:rFonts w:ascii="Calibri" w:eastAsia="Times New Roman" w:hAnsi="Calibri" w:cs="Times New Roman"/>
                <w:b/>
                <w:bCs/>
                <w:sz w:val="24"/>
                <w:szCs w:val="24"/>
              </w:rPr>
              <w:t>Indicators</w:t>
            </w:r>
          </w:p>
        </w:tc>
      </w:tr>
      <w:tr w:rsidR="007678A0" w:rsidRPr="00A53731" w:rsidTr="001C1667">
        <w:trPr>
          <w:trHeight w:val="575"/>
        </w:trPr>
        <w:tc>
          <w:tcPr>
            <w:tcW w:w="3078" w:type="dxa"/>
            <w:vMerge w:val="restart"/>
            <w:tcBorders>
              <w:top w:val="single" w:sz="4" w:space="0" w:color="auto"/>
              <w:left w:val="single" w:sz="4" w:space="0" w:color="auto"/>
              <w:bottom w:val="single" w:sz="4" w:space="0" w:color="000000"/>
              <w:right w:val="single" w:sz="4" w:space="0" w:color="auto"/>
            </w:tcBorders>
            <w:shd w:val="clear" w:color="auto" w:fill="B4ECFC" w:themeFill="text2" w:themeFillTint="33"/>
            <w:vAlign w:val="center"/>
            <w:hideMark/>
          </w:tcPr>
          <w:p w:rsidR="007678A0" w:rsidRPr="001C1667" w:rsidRDefault="007678A0" w:rsidP="0009007D">
            <w:pPr>
              <w:spacing w:after="0" w:line="240" w:lineRule="auto"/>
              <w:rPr>
                <w:rFonts w:ascii="Calibri" w:eastAsia="Times New Roman" w:hAnsi="Calibri" w:cs="Times New Roman"/>
                <w:b/>
                <w:color w:val="000000"/>
              </w:rPr>
            </w:pPr>
            <w:r w:rsidRPr="001C1667">
              <w:rPr>
                <w:rFonts w:ascii="Calibri" w:eastAsia="Times New Roman" w:hAnsi="Calibri" w:cs="Times New Roman"/>
                <w:b/>
                <w:color w:val="000000"/>
              </w:rPr>
              <w:t>A.</w:t>
            </w:r>
            <w:r w:rsidRPr="001C1667">
              <w:rPr>
                <w:rFonts w:ascii="Times New Roman" w:eastAsia="Times New Roman" w:hAnsi="Times New Roman" w:cs="Times New Roman"/>
                <w:b/>
                <w:color w:val="000000"/>
              </w:rPr>
              <w:t xml:space="preserve">  </w:t>
            </w:r>
            <w:r w:rsidRPr="001C1667">
              <w:rPr>
                <w:rFonts w:ascii="Calibri" w:eastAsia="Times New Roman" w:hAnsi="Calibri" w:cs="Times New Roman"/>
                <w:b/>
                <w:color w:val="000000"/>
              </w:rPr>
              <w:t>By 2012 the Caribbean Biodiversity Fund will be established, functional, initially capitalized, and invested.</w:t>
            </w:r>
          </w:p>
        </w:tc>
        <w:tc>
          <w:tcPr>
            <w:tcW w:w="6750" w:type="dxa"/>
            <w:tcBorders>
              <w:top w:val="nil"/>
              <w:left w:val="nil"/>
              <w:bottom w:val="single" w:sz="4" w:space="0" w:color="auto"/>
              <w:right w:val="single" w:sz="4" w:space="0" w:color="auto"/>
            </w:tcBorders>
            <w:shd w:val="clear" w:color="auto" w:fill="auto"/>
            <w:vAlign w:val="center"/>
            <w:hideMark/>
          </w:tcPr>
          <w:p w:rsidR="007678A0" w:rsidRPr="00A53731" w:rsidRDefault="007678A0" w:rsidP="0009007D">
            <w:pPr>
              <w:spacing w:after="0" w:line="240" w:lineRule="auto"/>
              <w:rPr>
                <w:rFonts w:ascii="Calibri" w:eastAsia="Times New Roman" w:hAnsi="Calibri" w:cs="Times New Roman"/>
                <w:color w:val="000000"/>
              </w:rPr>
            </w:pPr>
            <w:r w:rsidRPr="00A53731">
              <w:rPr>
                <w:rFonts w:ascii="Calibri" w:eastAsia="Times New Roman" w:hAnsi="Calibri" w:cs="Times New Roman"/>
                <w:color w:val="000000"/>
              </w:rPr>
              <w:t xml:space="preserve">A1. </w:t>
            </w:r>
            <w:r>
              <w:rPr>
                <w:rFonts w:ascii="Calibri" w:eastAsia="Times New Roman" w:hAnsi="Calibri" w:cs="Times New Roman"/>
                <w:color w:val="000000"/>
              </w:rPr>
              <w:t xml:space="preserve">CBF </w:t>
            </w:r>
            <w:r w:rsidRPr="00A53731">
              <w:rPr>
                <w:rFonts w:ascii="Calibri" w:eastAsia="Times New Roman" w:hAnsi="Calibri" w:cs="Times New Roman"/>
                <w:color w:val="000000"/>
              </w:rPr>
              <w:t xml:space="preserve">established </w:t>
            </w:r>
            <w:r>
              <w:rPr>
                <w:rFonts w:ascii="Calibri" w:eastAsia="Times New Roman" w:hAnsi="Calibri" w:cs="Times New Roman"/>
                <w:color w:val="000000"/>
              </w:rPr>
              <w:t>a</w:t>
            </w:r>
            <w:r w:rsidRPr="00A53731">
              <w:rPr>
                <w:rFonts w:ascii="Calibri" w:eastAsia="Times New Roman" w:hAnsi="Calibri" w:cs="Times New Roman"/>
                <w:color w:val="000000"/>
              </w:rPr>
              <w:t xml:space="preserve">s a tax exempt charity </w:t>
            </w:r>
            <w:r w:rsidR="005811B9">
              <w:rPr>
                <w:rFonts w:ascii="Calibri" w:eastAsia="Times New Roman" w:hAnsi="Calibri" w:cs="Times New Roman"/>
                <w:color w:val="000000"/>
              </w:rPr>
              <w:t xml:space="preserve">in the </w:t>
            </w:r>
            <w:r w:rsidRPr="00A53731">
              <w:rPr>
                <w:rFonts w:ascii="Calibri" w:eastAsia="Times New Roman" w:hAnsi="Calibri" w:cs="Times New Roman"/>
                <w:color w:val="000000"/>
              </w:rPr>
              <w:t xml:space="preserve">UK </w:t>
            </w:r>
          </w:p>
        </w:tc>
      </w:tr>
      <w:tr w:rsidR="007678A0" w:rsidRPr="00A53731" w:rsidTr="001C1667">
        <w:trPr>
          <w:trHeight w:val="900"/>
        </w:trPr>
        <w:tc>
          <w:tcPr>
            <w:tcW w:w="3078" w:type="dxa"/>
            <w:vMerge/>
            <w:tcBorders>
              <w:top w:val="nil"/>
              <w:left w:val="single" w:sz="4" w:space="0" w:color="auto"/>
              <w:bottom w:val="single" w:sz="4" w:space="0" w:color="000000"/>
              <w:right w:val="single" w:sz="4" w:space="0" w:color="auto"/>
            </w:tcBorders>
            <w:shd w:val="clear" w:color="auto" w:fill="B4ECFC" w:themeFill="text2" w:themeFillTint="33"/>
            <w:vAlign w:val="center"/>
            <w:hideMark/>
          </w:tcPr>
          <w:p w:rsidR="007678A0" w:rsidRPr="001C1667" w:rsidRDefault="007678A0" w:rsidP="0009007D">
            <w:pPr>
              <w:spacing w:after="0" w:line="240" w:lineRule="auto"/>
              <w:rPr>
                <w:rFonts w:ascii="Calibri" w:eastAsia="Times New Roman" w:hAnsi="Calibri" w:cs="Times New Roman"/>
                <w:b/>
                <w:color w:val="000000"/>
              </w:rPr>
            </w:pPr>
          </w:p>
        </w:tc>
        <w:tc>
          <w:tcPr>
            <w:tcW w:w="6750" w:type="dxa"/>
            <w:tcBorders>
              <w:top w:val="nil"/>
              <w:left w:val="nil"/>
              <w:bottom w:val="single" w:sz="4" w:space="0" w:color="auto"/>
              <w:right w:val="single" w:sz="4" w:space="0" w:color="auto"/>
            </w:tcBorders>
            <w:shd w:val="clear" w:color="auto" w:fill="auto"/>
            <w:vAlign w:val="center"/>
            <w:hideMark/>
          </w:tcPr>
          <w:p w:rsidR="007678A0" w:rsidRPr="00A53731" w:rsidRDefault="007678A0" w:rsidP="0009007D">
            <w:pPr>
              <w:spacing w:after="0" w:line="240" w:lineRule="auto"/>
              <w:rPr>
                <w:rFonts w:ascii="Calibri" w:eastAsia="Times New Roman" w:hAnsi="Calibri" w:cs="Times New Roman"/>
                <w:color w:val="000000"/>
              </w:rPr>
            </w:pPr>
            <w:r w:rsidRPr="00A53731">
              <w:rPr>
                <w:rFonts w:ascii="Calibri" w:eastAsia="Times New Roman" w:hAnsi="Calibri" w:cs="Times New Roman"/>
                <w:color w:val="000000"/>
              </w:rPr>
              <w:t xml:space="preserve">A2. </w:t>
            </w:r>
            <w:r>
              <w:rPr>
                <w:rFonts w:ascii="Calibri" w:eastAsia="Times New Roman" w:hAnsi="Calibri" w:cs="Times New Roman"/>
                <w:color w:val="000000"/>
              </w:rPr>
              <w:t xml:space="preserve">CBF Functional: </w:t>
            </w:r>
            <w:r w:rsidRPr="00A53731">
              <w:rPr>
                <w:rFonts w:ascii="Calibri" w:eastAsia="Times New Roman" w:hAnsi="Calibri" w:cs="Times New Roman"/>
                <w:color w:val="000000"/>
              </w:rPr>
              <w:t>Acting E</w:t>
            </w:r>
            <w:r>
              <w:rPr>
                <w:rFonts w:ascii="Calibri" w:eastAsia="Times New Roman" w:hAnsi="Calibri" w:cs="Times New Roman"/>
                <w:color w:val="000000"/>
              </w:rPr>
              <w:t xml:space="preserve">xecutive </w:t>
            </w:r>
            <w:r w:rsidRPr="00A53731">
              <w:rPr>
                <w:rFonts w:ascii="Calibri" w:eastAsia="Times New Roman" w:hAnsi="Calibri" w:cs="Times New Roman"/>
                <w:color w:val="000000"/>
              </w:rPr>
              <w:t>D</w:t>
            </w:r>
            <w:r>
              <w:rPr>
                <w:rFonts w:ascii="Calibri" w:eastAsia="Times New Roman" w:hAnsi="Calibri" w:cs="Times New Roman"/>
                <w:color w:val="000000"/>
              </w:rPr>
              <w:t>irector</w:t>
            </w:r>
            <w:r w:rsidRPr="00A53731">
              <w:rPr>
                <w:rFonts w:ascii="Calibri" w:eastAsia="Times New Roman" w:hAnsi="Calibri" w:cs="Times New Roman"/>
                <w:color w:val="000000"/>
              </w:rPr>
              <w:t xml:space="preserve"> named and </w:t>
            </w:r>
            <w:r w:rsidR="00F029D1">
              <w:rPr>
                <w:rFonts w:ascii="Calibri" w:eastAsia="Times New Roman" w:hAnsi="Calibri" w:cs="Times New Roman"/>
                <w:color w:val="000000"/>
              </w:rPr>
              <w:t xml:space="preserve">working effectively in that role; </w:t>
            </w:r>
            <w:r w:rsidRPr="00A53731">
              <w:rPr>
                <w:rFonts w:ascii="Calibri" w:eastAsia="Times New Roman" w:hAnsi="Calibri" w:cs="Times New Roman"/>
                <w:color w:val="000000"/>
              </w:rPr>
              <w:t xml:space="preserve">financial services firm hired in an open </w:t>
            </w:r>
            <w:r w:rsidR="00F029D1">
              <w:rPr>
                <w:rFonts w:ascii="Calibri" w:eastAsia="Times New Roman" w:hAnsi="Calibri" w:cs="Times New Roman"/>
                <w:color w:val="000000"/>
              </w:rPr>
              <w:t>and</w:t>
            </w:r>
            <w:r w:rsidRPr="00A53731">
              <w:rPr>
                <w:rFonts w:ascii="Calibri" w:eastAsia="Times New Roman" w:hAnsi="Calibri" w:cs="Times New Roman"/>
                <w:color w:val="000000"/>
              </w:rPr>
              <w:t xml:space="preserve"> transparent process </w:t>
            </w:r>
            <w:r w:rsidR="001D5619">
              <w:rPr>
                <w:rFonts w:ascii="Calibri" w:eastAsia="Times New Roman" w:hAnsi="Calibri" w:cs="Times New Roman"/>
                <w:color w:val="000000"/>
              </w:rPr>
              <w:t>based on</w:t>
            </w:r>
            <w:r w:rsidR="001D5619" w:rsidRPr="00A53731">
              <w:rPr>
                <w:rFonts w:ascii="Calibri" w:eastAsia="Times New Roman" w:hAnsi="Calibri" w:cs="Times New Roman"/>
                <w:color w:val="000000"/>
              </w:rPr>
              <w:t xml:space="preserve"> </w:t>
            </w:r>
            <w:r w:rsidR="001D5619">
              <w:rPr>
                <w:rFonts w:ascii="Calibri" w:eastAsia="Times New Roman" w:hAnsi="Calibri" w:cs="Times New Roman"/>
                <w:color w:val="000000"/>
              </w:rPr>
              <w:t>conservation trust fund (CTF)</w:t>
            </w:r>
            <w:r w:rsidRPr="00A53731">
              <w:rPr>
                <w:rFonts w:ascii="Calibri" w:eastAsia="Times New Roman" w:hAnsi="Calibri" w:cs="Times New Roman"/>
                <w:color w:val="000000"/>
              </w:rPr>
              <w:t xml:space="preserve"> best practices</w:t>
            </w:r>
            <w:r w:rsidR="009B3578">
              <w:rPr>
                <w:rFonts w:ascii="Calibri" w:eastAsia="Times New Roman" w:hAnsi="Calibri" w:cs="Times New Roman"/>
                <w:color w:val="000000"/>
              </w:rPr>
              <w:t>.</w:t>
            </w:r>
          </w:p>
        </w:tc>
      </w:tr>
      <w:tr w:rsidR="007678A0" w:rsidRPr="00A53731" w:rsidTr="001C1667">
        <w:trPr>
          <w:trHeight w:val="1178"/>
        </w:trPr>
        <w:tc>
          <w:tcPr>
            <w:tcW w:w="3078" w:type="dxa"/>
            <w:vMerge/>
            <w:tcBorders>
              <w:top w:val="nil"/>
              <w:left w:val="single" w:sz="4" w:space="0" w:color="auto"/>
              <w:bottom w:val="single" w:sz="4" w:space="0" w:color="000000"/>
              <w:right w:val="single" w:sz="4" w:space="0" w:color="auto"/>
            </w:tcBorders>
            <w:shd w:val="clear" w:color="auto" w:fill="B4ECFC" w:themeFill="text2" w:themeFillTint="33"/>
            <w:vAlign w:val="center"/>
            <w:hideMark/>
          </w:tcPr>
          <w:p w:rsidR="007678A0" w:rsidRPr="001C1667" w:rsidRDefault="007678A0" w:rsidP="0009007D">
            <w:pPr>
              <w:spacing w:after="0" w:line="240" w:lineRule="auto"/>
              <w:rPr>
                <w:rFonts w:ascii="Calibri" w:eastAsia="Times New Roman" w:hAnsi="Calibri" w:cs="Times New Roman"/>
                <w:b/>
                <w:color w:val="000000"/>
              </w:rPr>
            </w:pPr>
          </w:p>
        </w:tc>
        <w:tc>
          <w:tcPr>
            <w:tcW w:w="6750" w:type="dxa"/>
            <w:tcBorders>
              <w:top w:val="nil"/>
              <w:left w:val="nil"/>
              <w:bottom w:val="single" w:sz="4" w:space="0" w:color="auto"/>
              <w:right w:val="single" w:sz="4" w:space="0" w:color="auto"/>
            </w:tcBorders>
            <w:shd w:val="clear" w:color="auto" w:fill="auto"/>
            <w:vAlign w:val="center"/>
            <w:hideMark/>
          </w:tcPr>
          <w:p w:rsidR="007678A0" w:rsidRPr="00A53731" w:rsidRDefault="007678A0" w:rsidP="0009007D">
            <w:pPr>
              <w:spacing w:after="0" w:line="240" w:lineRule="auto"/>
              <w:rPr>
                <w:rFonts w:ascii="Calibri" w:eastAsia="Times New Roman" w:hAnsi="Calibri" w:cs="Times New Roman"/>
                <w:color w:val="000000"/>
              </w:rPr>
            </w:pPr>
            <w:r w:rsidRPr="00A53731">
              <w:rPr>
                <w:rFonts w:ascii="Calibri" w:eastAsia="Times New Roman" w:hAnsi="Calibri" w:cs="Times New Roman"/>
                <w:color w:val="000000"/>
              </w:rPr>
              <w:t xml:space="preserve">A3. </w:t>
            </w:r>
            <w:r w:rsidR="00F11F4B">
              <w:rPr>
                <w:rFonts w:ascii="Calibri" w:eastAsia="Times New Roman" w:hAnsi="Calibri" w:cs="Times New Roman"/>
                <w:color w:val="000000"/>
              </w:rPr>
              <w:t xml:space="preserve">CBF </w:t>
            </w:r>
            <w:r w:rsidR="00F11F4B" w:rsidRPr="00A53731">
              <w:rPr>
                <w:rFonts w:ascii="Calibri" w:eastAsia="Times New Roman" w:hAnsi="Calibri" w:cs="Times New Roman"/>
                <w:color w:val="000000"/>
              </w:rPr>
              <w:t>initially capitalized</w:t>
            </w:r>
            <w:r w:rsidR="00F11F4B">
              <w:rPr>
                <w:rFonts w:ascii="Calibri" w:eastAsia="Times New Roman" w:hAnsi="Calibri" w:cs="Times New Roman"/>
                <w:color w:val="000000"/>
              </w:rPr>
              <w:t>:</w:t>
            </w:r>
            <w:r w:rsidR="00F11F4B" w:rsidRPr="00A53731">
              <w:rPr>
                <w:rFonts w:ascii="Calibri" w:eastAsia="Times New Roman" w:hAnsi="Calibri" w:cs="Times New Roman"/>
                <w:color w:val="000000"/>
              </w:rPr>
              <w:t xml:space="preserve"> at least 50% of the KfW funds have been transferred </w:t>
            </w:r>
            <w:r w:rsidR="00F11F4B">
              <w:rPr>
                <w:rFonts w:ascii="Calibri" w:eastAsia="Times New Roman" w:hAnsi="Calibri" w:cs="Times New Roman"/>
                <w:color w:val="000000"/>
              </w:rPr>
              <w:t xml:space="preserve">to the CBF </w:t>
            </w:r>
            <w:r w:rsidR="00F11F4B" w:rsidRPr="00A53731">
              <w:rPr>
                <w:rFonts w:ascii="Calibri" w:eastAsia="Times New Roman" w:hAnsi="Calibri" w:cs="Times New Roman"/>
                <w:color w:val="000000"/>
              </w:rPr>
              <w:t xml:space="preserve">and invested </w:t>
            </w:r>
            <w:r w:rsidR="00F11F4B">
              <w:rPr>
                <w:rFonts w:ascii="Calibri" w:eastAsia="Times New Roman" w:hAnsi="Calibri" w:cs="Times New Roman"/>
                <w:color w:val="000000"/>
              </w:rPr>
              <w:t>by the</w:t>
            </w:r>
            <w:r w:rsidR="00F11F4B" w:rsidRPr="00A53731">
              <w:rPr>
                <w:rFonts w:ascii="Calibri" w:eastAsia="Times New Roman" w:hAnsi="Calibri" w:cs="Times New Roman"/>
                <w:color w:val="000000"/>
              </w:rPr>
              <w:t xml:space="preserve"> investment manager hired in a transparent and open process per CTF best practices</w:t>
            </w:r>
            <w:r w:rsidR="00F11F4B">
              <w:rPr>
                <w:rFonts w:ascii="Calibri" w:eastAsia="Times New Roman" w:hAnsi="Calibri" w:cs="Times New Roman"/>
                <w:color w:val="000000"/>
              </w:rPr>
              <w:t>.</w:t>
            </w:r>
          </w:p>
        </w:tc>
      </w:tr>
      <w:tr w:rsidR="007678A0" w:rsidRPr="00A53731" w:rsidTr="001C1667">
        <w:trPr>
          <w:trHeight w:val="512"/>
        </w:trPr>
        <w:tc>
          <w:tcPr>
            <w:tcW w:w="3078" w:type="dxa"/>
            <w:vMerge/>
            <w:tcBorders>
              <w:top w:val="nil"/>
              <w:left w:val="single" w:sz="4" w:space="0" w:color="auto"/>
              <w:bottom w:val="single" w:sz="4" w:space="0" w:color="000000"/>
              <w:right w:val="single" w:sz="4" w:space="0" w:color="auto"/>
            </w:tcBorders>
            <w:shd w:val="clear" w:color="auto" w:fill="B4ECFC" w:themeFill="text2" w:themeFillTint="33"/>
            <w:vAlign w:val="center"/>
            <w:hideMark/>
          </w:tcPr>
          <w:p w:rsidR="007678A0" w:rsidRPr="001C1667" w:rsidRDefault="007678A0" w:rsidP="0009007D">
            <w:pPr>
              <w:spacing w:after="0" w:line="240" w:lineRule="auto"/>
              <w:rPr>
                <w:rFonts w:ascii="Calibri" w:eastAsia="Times New Roman" w:hAnsi="Calibri" w:cs="Times New Roman"/>
                <w:b/>
                <w:color w:val="000000"/>
              </w:rPr>
            </w:pPr>
          </w:p>
        </w:tc>
        <w:tc>
          <w:tcPr>
            <w:tcW w:w="6750" w:type="dxa"/>
            <w:tcBorders>
              <w:top w:val="nil"/>
              <w:left w:val="nil"/>
              <w:bottom w:val="single" w:sz="4" w:space="0" w:color="auto"/>
              <w:right w:val="single" w:sz="4" w:space="0" w:color="auto"/>
            </w:tcBorders>
            <w:shd w:val="clear" w:color="auto" w:fill="auto"/>
            <w:vAlign w:val="center"/>
            <w:hideMark/>
          </w:tcPr>
          <w:p w:rsidR="007678A0" w:rsidRPr="00A53731" w:rsidRDefault="007678A0" w:rsidP="0009007D">
            <w:pPr>
              <w:rPr>
                <w:rFonts w:ascii="Calibri" w:eastAsia="Times New Roman" w:hAnsi="Calibri" w:cs="Times New Roman"/>
                <w:color w:val="FF0000"/>
              </w:rPr>
            </w:pPr>
            <w:r>
              <w:rPr>
                <w:rFonts w:ascii="Calibri" w:hAnsi="Calibri"/>
              </w:rPr>
              <w:t xml:space="preserve">A4. CBF perceived as legitimate by key stakeholders </w:t>
            </w:r>
            <w:r w:rsidR="000B0293">
              <w:rPr>
                <w:rFonts w:ascii="Calibri" w:hAnsi="Calibri"/>
              </w:rPr>
              <w:t xml:space="preserve">(participating governments, national protected area trust fund boards) </w:t>
            </w:r>
            <w:r>
              <w:rPr>
                <w:rFonts w:ascii="Calibri" w:hAnsi="Calibri"/>
              </w:rPr>
              <w:t xml:space="preserve">according to the established </w:t>
            </w:r>
            <w:r w:rsidR="001D5619">
              <w:rPr>
                <w:rFonts w:ascii="Calibri" w:hAnsi="Calibri"/>
              </w:rPr>
              <w:t>standards</w:t>
            </w:r>
          </w:p>
        </w:tc>
      </w:tr>
      <w:tr w:rsidR="007678A0" w:rsidRPr="00A53731" w:rsidTr="001C1667">
        <w:trPr>
          <w:trHeight w:val="1061"/>
        </w:trPr>
        <w:tc>
          <w:tcPr>
            <w:tcW w:w="3078" w:type="dxa"/>
            <w:vMerge w:val="restart"/>
            <w:tcBorders>
              <w:top w:val="nil"/>
              <w:left w:val="single" w:sz="4" w:space="0" w:color="auto"/>
              <w:bottom w:val="single" w:sz="4" w:space="0" w:color="000000"/>
              <w:right w:val="single" w:sz="4" w:space="0" w:color="auto"/>
            </w:tcBorders>
            <w:shd w:val="clear" w:color="auto" w:fill="B4ECFC" w:themeFill="text2" w:themeFillTint="33"/>
            <w:vAlign w:val="center"/>
            <w:hideMark/>
          </w:tcPr>
          <w:p w:rsidR="007678A0" w:rsidRPr="001C1667" w:rsidRDefault="007678A0" w:rsidP="0009007D">
            <w:pPr>
              <w:spacing w:after="0" w:line="240" w:lineRule="auto"/>
              <w:rPr>
                <w:rFonts w:ascii="Calibri" w:eastAsia="Times New Roman" w:hAnsi="Calibri" w:cs="Times New Roman"/>
                <w:b/>
                <w:color w:val="000000"/>
              </w:rPr>
            </w:pPr>
            <w:r w:rsidRPr="001C1667">
              <w:rPr>
                <w:rFonts w:ascii="Calibri" w:eastAsia="Times New Roman" w:hAnsi="Calibri" w:cs="Times New Roman"/>
                <w:b/>
                <w:color w:val="000000"/>
              </w:rPr>
              <w:t>B.  By 2015</w:t>
            </w:r>
            <w:r w:rsidR="000B0293">
              <w:rPr>
                <w:rFonts w:ascii="Calibri" w:eastAsia="Times New Roman" w:hAnsi="Calibri" w:cs="Times New Roman"/>
                <w:b/>
                <w:color w:val="000000"/>
              </w:rPr>
              <w:t>,</w:t>
            </w:r>
            <w:r w:rsidRPr="001C1667">
              <w:rPr>
                <w:rFonts w:ascii="Calibri" w:eastAsia="Times New Roman" w:hAnsi="Calibri" w:cs="Times New Roman"/>
                <w:b/>
                <w:color w:val="000000"/>
              </w:rPr>
              <w:t xml:space="preserve"> at least 6 NPATFs are operational*</w:t>
            </w:r>
            <w:r w:rsidR="000B0293">
              <w:rPr>
                <w:rFonts w:ascii="Calibri" w:eastAsia="Times New Roman" w:hAnsi="Calibri" w:cs="Times New Roman"/>
                <w:b/>
                <w:color w:val="000000"/>
              </w:rPr>
              <w:t xml:space="preserve">, </w:t>
            </w:r>
            <w:r w:rsidRPr="001C1667">
              <w:rPr>
                <w:rFonts w:ascii="Calibri" w:eastAsia="Times New Roman" w:hAnsi="Calibri" w:cs="Times New Roman"/>
                <w:b/>
                <w:color w:val="000000"/>
              </w:rPr>
              <w:t>perceived as legitimate and meet all requirements of their vertical agreement* to receive CBF incentive funds.</w:t>
            </w:r>
          </w:p>
        </w:tc>
        <w:tc>
          <w:tcPr>
            <w:tcW w:w="6750" w:type="dxa"/>
            <w:tcBorders>
              <w:top w:val="nil"/>
              <w:left w:val="nil"/>
              <w:bottom w:val="single" w:sz="4" w:space="0" w:color="auto"/>
              <w:right w:val="single" w:sz="4" w:space="0" w:color="auto"/>
            </w:tcBorders>
            <w:shd w:val="clear" w:color="auto" w:fill="auto"/>
            <w:vAlign w:val="center"/>
            <w:hideMark/>
          </w:tcPr>
          <w:p w:rsidR="007678A0" w:rsidRPr="00A53731" w:rsidRDefault="007678A0" w:rsidP="0009007D">
            <w:pPr>
              <w:spacing w:after="0" w:line="240" w:lineRule="auto"/>
              <w:rPr>
                <w:rFonts w:ascii="Calibri" w:eastAsia="Times New Roman" w:hAnsi="Calibri" w:cs="Times New Roman"/>
                <w:color w:val="000000"/>
              </w:rPr>
            </w:pPr>
            <w:r w:rsidRPr="00A53731">
              <w:rPr>
                <w:rFonts w:ascii="Calibri" w:eastAsia="Times New Roman" w:hAnsi="Calibri" w:cs="Times New Roman"/>
                <w:color w:val="000000"/>
              </w:rPr>
              <w:t xml:space="preserve">B1. </w:t>
            </w:r>
            <w:r w:rsidR="00E61538">
              <w:rPr>
                <w:rFonts w:ascii="Calibri" w:eastAsia="Times New Roman" w:hAnsi="Calibri" w:cs="Times New Roman"/>
                <w:color w:val="000000"/>
              </w:rPr>
              <w:t>0</w:t>
            </w:r>
            <w:r w:rsidRPr="00A53731">
              <w:rPr>
                <w:rFonts w:ascii="Calibri" w:eastAsia="Times New Roman" w:hAnsi="Calibri" w:cs="Times New Roman"/>
                <w:color w:val="000000"/>
              </w:rPr>
              <w:t>perational – Non-gov</w:t>
            </w:r>
            <w:r>
              <w:rPr>
                <w:rFonts w:ascii="Calibri" w:eastAsia="Times New Roman" w:hAnsi="Calibri" w:cs="Times New Roman"/>
                <w:color w:val="000000"/>
              </w:rPr>
              <w:t>ernmen</w:t>
            </w:r>
            <w:r w:rsidRPr="00A53731">
              <w:rPr>
                <w:rFonts w:ascii="Calibri" w:eastAsia="Times New Roman" w:hAnsi="Calibri" w:cs="Times New Roman"/>
                <w:color w:val="000000"/>
              </w:rPr>
              <w:t>t majority board established and officers elected; administrative capacity in place; open and transparent process for grant making established - all per CTF best practices, etc.</w:t>
            </w:r>
          </w:p>
        </w:tc>
      </w:tr>
      <w:tr w:rsidR="007678A0" w:rsidRPr="00A53731" w:rsidTr="001C1667">
        <w:trPr>
          <w:trHeight w:val="539"/>
        </w:trPr>
        <w:tc>
          <w:tcPr>
            <w:tcW w:w="3078" w:type="dxa"/>
            <w:vMerge/>
            <w:tcBorders>
              <w:top w:val="nil"/>
              <w:left w:val="single" w:sz="4" w:space="0" w:color="auto"/>
              <w:bottom w:val="single" w:sz="4" w:space="0" w:color="000000"/>
              <w:right w:val="single" w:sz="4" w:space="0" w:color="auto"/>
            </w:tcBorders>
            <w:shd w:val="clear" w:color="auto" w:fill="B4ECFC" w:themeFill="text2" w:themeFillTint="33"/>
            <w:vAlign w:val="center"/>
            <w:hideMark/>
          </w:tcPr>
          <w:p w:rsidR="007678A0" w:rsidRPr="001C1667" w:rsidRDefault="007678A0" w:rsidP="0009007D">
            <w:pPr>
              <w:spacing w:after="0" w:line="240" w:lineRule="auto"/>
              <w:rPr>
                <w:rFonts w:ascii="Calibri" w:eastAsia="Times New Roman" w:hAnsi="Calibri" w:cs="Times New Roman"/>
                <w:b/>
                <w:color w:val="000000"/>
              </w:rPr>
            </w:pPr>
          </w:p>
        </w:tc>
        <w:tc>
          <w:tcPr>
            <w:tcW w:w="6750" w:type="dxa"/>
            <w:tcBorders>
              <w:top w:val="nil"/>
              <w:left w:val="nil"/>
              <w:bottom w:val="single" w:sz="4" w:space="0" w:color="auto"/>
              <w:right w:val="single" w:sz="4" w:space="0" w:color="auto"/>
            </w:tcBorders>
            <w:shd w:val="clear" w:color="auto" w:fill="auto"/>
            <w:vAlign w:val="center"/>
            <w:hideMark/>
          </w:tcPr>
          <w:p w:rsidR="007678A0" w:rsidRPr="00A53731" w:rsidRDefault="007678A0" w:rsidP="0009007D">
            <w:pPr>
              <w:spacing w:after="0" w:line="240" w:lineRule="auto"/>
              <w:rPr>
                <w:rFonts w:ascii="Calibri" w:eastAsia="Times New Roman" w:hAnsi="Calibri" w:cs="Times New Roman"/>
                <w:color w:val="000000"/>
              </w:rPr>
            </w:pPr>
            <w:r w:rsidRPr="00A53731">
              <w:rPr>
                <w:rFonts w:ascii="Calibri" w:eastAsia="Times New Roman" w:hAnsi="Calibri" w:cs="Times New Roman"/>
                <w:color w:val="000000"/>
              </w:rPr>
              <w:t xml:space="preserve">B2. </w:t>
            </w:r>
            <w:r>
              <w:rPr>
                <w:rFonts w:ascii="Calibri" w:eastAsia="Times New Roman" w:hAnsi="Calibri" w:cs="Times New Roman"/>
                <w:color w:val="000000"/>
              </w:rPr>
              <w:t>V</w:t>
            </w:r>
            <w:r w:rsidRPr="00A53731">
              <w:rPr>
                <w:rFonts w:ascii="Calibri" w:eastAsia="Times New Roman" w:hAnsi="Calibri" w:cs="Times New Roman"/>
                <w:color w:val="000000"/>
              </w:rPr>
              <w:t>ertical agreements between the CBF and NPATFs established</w:t>
            </w:r>
          </w:p>
        </w:tc>
      </w:tr>
      <w:tr w:rsidR="007678A0" w:rsidRPr="00A53731" w:rsidTr="001C1667">
        <w:trPr>
          <w:trHeight w:val="701"/>
        </w:trPr>
        <w:tc>
          <w:tcPr>
            <w:tcW w:w="3078" w:type="dxa"/>
            <w:vMerge/>
            <w:tcBorders>
              <w:top w:val="nil"/>
              <w:left w:val="single" w:sz="4" w:space="0" w:color="auto"/>
              <w:bottom w:val="single" w:sz="4" w:space="0" w:color="auto"/>
              <w:right w:val="single" w:sz="4" w:space="0" w:color="auto"/>
            </w:tcBorders>
            <w:shd w:val="clear" w:color="auto" w:fill="B4ECFC" w:themeFill="text2" w:themeFillTint="33"/>
            <w:vAlign w:val="center"/>
            <w:hideMark/>
          </w:tcPr>
          <w:p w:rsidR="007678A0" w:rsidRPr="001C1667" w:rsidRDefault="007678A0" w:rsidP="0009007D">
            <w:pPr>
              <w:spacing w:after="0" w:line="240" w:lineRule="auto"/>
              <w:rPr>
                <w:rFonts w:ascii="Calibri" w:eastAsia="Times New Roman" w:hAnsi="Calibri" w:cs="Times New Roman"/>
                <w:b/>
                <w:color w:val="000000"/>
              </w:rPr>
            </w:pPr>
          </w:p>
        </w:tc>
        <w:tc>
          <w:tcPr>
            <w:tcW w:w="6750" w:type="dxa"/>
            <w:tcBorders>
              <w:top w:val="nil"/>
              <w:left w:val="nil"/>
              <w:bottom w:val="single" w:sz="4" w:space="0" w:color="auto"/>
              <w:right w:val="single" w:sz="4" w:space="0" w:color="auto"/>
            </w:tcBorders>
            <w:shd w:val="clear" w:color="auto" w:fill="auto"/>
            <w:vAlign w:val="center"/>
            <w:hideMark/>
          </w:tcPr>
          <w:p w:rsidR="007678A0" w:rsidRPr="00A53731" w:rsidRDefault="007678A0" w:rsidP="0009007D">
            <w:pPr>
              <w:spacing w:after="0" w:line="240" w:lineRule="auto"/>
              <w:rPr>
                <w:rFonts w:ascii="Calibri" w:eastAsia="Times New Roman" w:hAnsi="Calibri" w:cs="Times New Roman"/>
                <w:color w:val="FF0000"/>
              </w:rPr>
            </w:pPr>
            <w:r>
              <w:rPr>
                <w:rFonts w:ascii="Calibri" w:hAnsi="Calibri"/>
              </w:rPr>
              <w:t>B3. NPATFs perceived as legitimate by key stakeholders according to the established standards</w:t>
            </w:r>
          </w:p>
        </w:tc>
      </w:tr>
      <w:tr w:rsidR="007678A0" w:rsidRPr="00A53731" w:rsidTr="001C1667">
        <w:trPr>
          <w:trHeight w:val="1500"/>
        </w:trPr>
        <w:tc>
          <w:tcPr>
            <w:tcW w:w="3078" w:type="dxa"/>
            <w:tcBorders>
              <w:top w:val="single" w:sz="4" w:space="0" w:color="auto"/>
              <w:left w:val="single" w:sz="4" w:space="0" w:color="auto"/>
              <w:bottom w:val="single" w:sz="4" w:space="0" w:color="auto"/>
              <w:right w:val="single" w:sz="4" w:space="0" w:color="auto"/>
            </w:tcBorders>
            <w:shd w:val="clear" w:color="auto" w:fill="B4ECFC" w:themeFill="text2" w:themeFillTint="33"/>
            <w:vAlign w:val="center"/>
            <w:hideMark/>
          </w:tcPr>
          <w:p w:rsidR="007678A0" w:rsidRPr="001C1667" w:rsidRDefault="00F11F4B" w:rsidP="0009007D">
            <w:pPr>
              <w:spacing w:after="0" w:line="240" w:lineRule="auto"/>
              <w:rPr>
                <w:rFonts w:ascii="Calibri" w:eastAsia="Times New Roman" w:hAnsi="Calibri" w:cs="Times New Roman"/>
                <w:b/>
                <w:color w:val="000000"/>
              </w:rPr>
            </w:pPr>
            <w:r w:rsidRPr="001C1667">
              <w:rPr>
                <w:rFonts w:ascii="Calibri" w:eastAsia="Times New Roman" w:hAnsi="Calibri" w:cs="Times New Roman"/>
                <w:b/>
                <w:color w:val="000000"/>
              </w:rPr>
              <w:t>C.  By 2020</w:t>
            </w:r>
            <w:r>
              <w:rPr>
                <w:rFonts w:ascii="Calibri" w:eastAsia="Times New Roman" w:hAnsi="Calibri" w:cs="Times New Roman"/>
                <w:b/>
                <w:color w:val="000000"/>
              </w:rPr>
              <w:t>,</w:t>
            </w:r>
            <w:r w:rsidRPr="001C1667">
              <w:rPr>
                <w:rFonts w:ascii="Calibri" w:eastAsia="Times New Roman" w:hAnsi="Calibri" w:cs="Times New Roman"/>
                <w:b/>
                <w:color w:val="000000"/>
              </w:rPr>
              <w:t xml:space="preserve"> NPATF</w:t>
            </w:r>
            <w:r>
              <w:rPr>
                <w:rFonts w:ascii="Calibri" w:eastAsia="Times New Roman" w:hAnsi="Calibri" w:cs="Times New Roman"/>
                <w:b/>
                <w:color w:val="000000"/>
              </w:rPr>
              <w:t>s in 6 Caribbean Challenge Initiative countries are</w:t>
            </w:r>
            <w:r w:rsidRPr="001C1667">
              <w:rPr>
                <w:rFonts w:ascii="Calibri" w:eastAsia="Times New Roman" w:hAnsi="Calibri" w:cs="Times New Roman"/>
                <w:b/>
                <w:color w:val="000000"/>
              </w:rPr>
              <w:t xml:space="preserve"> fund</w:t>
            </w:r>
            <w:r>
              <w:rPr>
                <w:rFonts w:ascii="Calibri" w:eastAsia="Times New Roman" w:hAnsi="Calibri" w:cs="Times New Roman"/>
                <w:b/>
                <w:color w:val="000000"/>
              </w:rPr>
              <w:t>ing</w:t>
            </w:r>
            <w:r w:rsidRPr="001C1667">
              <w:rPr>
                <w:rFonts w:ascii="Calibri" w:eastAsia="Times New Roman" w:hAnsi="Calibri" w:cs="Times New Roman"/>
                <w:b/>
                <w:color w:val="000000"/>
              </w:rPr>
              <w:t xml:space="preserve"> activities which improve RAPPAM/METT scores for PA systems </w:t>
            </w:r>
            <w:r>
              <w:rPr>
                <w:rFonts w:ascii="Calibri" w:eastAsia="Times New Roman" w:hAnsi="Calibri" w:cs="Times New Roman"/>
                <w:b/>
                <w:color w:val="000000"/>
              </w:rPr>
              <w:t>toward</w:t>
            </w:r>
            <w:r w:rsidRPr="001C1667">
              <w:rPr>
                <w:rFonts w:ascii="Calibri" w:eastAsia="Times New Roman" w:hAnsi="Calibri" w:cs="Times New Roman"/>
                <w:b/>
                <w:color w:val="000000"/>
              </w:rPr>
              <w:t xml:space="preserve"> meet</w:t>
            </w:r>
            <w:r>
              <w:rPr>
                <w:rFonts w:ascii="Calibri" w:eastAsia="Times New Roman" w:hAnsi="Calibri" w:cs="Times New Roman"/>
                <w:b/>
                <w:color w:val="000000"/>
              </w:rPr>
              <w:t>ing</w:t>
            </w:r>
            <w:r w:rsidRPr="001C1667">
              <w:rPr>
                <w:rFonts w:ascii="Calibri" w:eastAsia="Times New Roman" w:hAnsi="Calibri" w:cs="Times New Roman"/>
                <w:b/>
                <w:color w:val="000000"/>
              </w:rPr>
              <w:t xml:space="preserve"> minimum thresh</w:t>
            </w:r>
            <w:r>
              <w:rPr>
                <w:rFonts w:ascii="Calibri" w:eastAsia="Times New Roman" w:hAnsi="Calibri" w:cs="Times New Roman"/>
                <w:b/>
                <w:color w:val="000000"/>
              </w:rPr>
              <w:t>old score (To be further developed)</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7678A0" w:rsidRPr="00A53731" w:rsidRDefault="007678A0" w:rsidP="0009007D">
            <w:pPr>
              <w:spacing w:after="0" w:line="240" w:lineRule="auto"/>
              <w:rPr>
                <w:rFonts w:ascii="Calibri" w:eastAsia="Times New Roman" w:hAnsi="Calibri" w:cs="Times New Roman"/>
                <w:color w:val="000000"/>
              </w:rPr>
            </w:pPr>
            <w:r w:rsidRPr="00A53731">
              <w:rPr>
                <w:rFonts w:ascii="Calibri" w:eastAsia="Times New Roman" w:hAnsi="Calibri" w:cs="Times New Roman"/>
                <w:color w:val="000000"/>
              </w:rPr>
              <w:t xml:space="preserve">C1. </w:t>
            </w:r>
            <w:r w:rsidR="000B0293">
              <w:rPr>
                <w:rFonts w:ascii="Calibri" w:eastAsia="Times New Roman" w:hAnsi="Calibri" w:cs="Times New Roman"/>
                <w:color w:val="000000"/>
              </w:rPr>
              <w:t xml:space="preserve">Improvements in </w:t>
            </w:r>
            <w:r w:rsidRPr="00A53731">
              <w:rPr>
                <w:rFonts w:ascii="Calibri" w:eastAsia="Times New Roman" w:hAnsi="Calibri" w:cs="Times New Roman"/>
                <w:color w:val="000000"/>
              </w:rPr>
              <w:t xml:space="preserve">RAPPAM/METT scores </w:t>
            </w:r>
          </w:p>
        </w:tc>
      </w:tr>
      <w:tr w:rsidR="007678A0" w:rsidRPr="00A53731" w:rsidTr="001C1667">
        <w:trPr>
          <w:trHeight w:val="1475"/>
        </w:trPr>
        <w:tc>
          <w:tcPr>
            <w:tcW w:w="3078" w:type="dxa"/>
            <w:tcBorders>
              <w:top w:val="single" w:sz="4" w:space="0" w:color="auto"/>
              <w:left w:val="single" w:sz="4" w:space="0" w:color="auto"/>
              <w:bottom w:val="single" w:sz="4" w:space="0" w:color="auto"/>
              <w:right w:val="single" w:sz="4" w:space="0" w:color="auto"/>
            </w:tcBorders>
            <w:shd w:val="clear" w:color="auto" w:fill="B4ECFC" w:themeFill="text2" w:themeFillTint="33"/>
            <w:vAlign w:val="center"/>
            <w:hideMark/>
          </w:tcPr>
          <w:p w:rsidR="007678A0" w:rsidRPr="001C1667" w:rsidRDefault="00F11F4B" w:rsidP="0009007D">
            <w:pPr>
              <w:spacing w:after="0" w:line="240" w:lineRule="auto"/>
              <w:rPr>
                <w:rFonts w:ascii="Calibri" w:eastAsia="Times New Roman" w:hAnsi="Calibri" w:cs="Times New Roman"/>
                <w:b/>
                <w:color w:val="000000"/>
              </w:rPr>
            </w:pPr>
            <w:r w:rsidRPr="001C1667">
              <w:rPr>
                <w:rFonts w:ascii="Calibri" w:eastAsia="Times New Roman" w:hAnsi="Calibri" w:cs="Times New Roman"/>
                <w:b/>
                <w:color w:val="000000"/>
              </w:rPr>
              <w:t>D.  By 2020</w:t>
            </w:r>
            <w:r>
              <w:rPr>
                <w:rFonts w:ascii="Calibri" w:eastAsia="Times New Roman" w:hAnsi="Calibri" w:cs="Times New Roman"/>
                <w:b/>
                <w:color w:val="000000"/>
              </w:rPr>
              <w:t>,</w:t>
            </w:r>
            <w:r w:rsidRPr="001C1667">
              <w:rPr>
                <w:rFonts w:ascii="Calibri" w:eastAsia="Times New Roman" w:hAnsi="Calibri" w:cs="Times New Roman"/>
                <w:b/>
                <w:color w:val="000000"/>
              </w:rPr>
              <w:t xml:space="preserve"> 50% (approx $16 million per year*) of annual funding gap for conservation in </w:t>
            </w:r>
            <w:r>
              <w:rPr>
                <w:rFonts w:ascii="Calibri" w:eastAsia="Times New Roman" w:hAnsi="Calibri" w:cs="Times New Roman"/>
                <w:b/>
                <w:color w:val="000000"/>
              </w:rPr>
              <w:t>p</w:t>
            </w:r>
            <w:r w:rsidRPr="001C1667">
              <w:rPr>
                <w:rFonts w:ascii="Calibri" w:eastAsia="Times New Roman" w:hAnsi="Calibri" w:cs="Times New Roman"/>
                <w:b/>
                <w:color w:val="000000"/>
              </w:rPr>
              <w:t xml:space="preserve">rotected </w:t>
            </w:r>
            <w:r>
              <w:rPr>
                <w:rFonts w:ascii="Calibri" w:eastAsia="Times New Roman" w:hAnsi="Calibri" w:cs="Times New Roman"/>
                <w:b/>
                <w:color w:val="000000"/>
              </w:rPr>
              <w:t>a</w:t>
            </w:r>
            <w:r w:rsidRPr="001C1667">
              <w:rPr>
                <w:rFonts w:ascii="Calibri" w:eastAsia="Times New Roman" w:hAnsi="Calibri" w:cs="Times New Roman"/>
                <w:b/>
                <w:color w:val="000000"/>
              </w:rPr>
              <w:t>reas closed in 6 countries.</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7678A0" w:rsidRPr="00A53731" w:rsidRDefault="007678A0" w:rsidP="0009007D">
            <w:pPr>
              <w:spacing w:after="0" w:line="240" w:lineRule="auto"/>
              <w:rPr>
                <w:rFonts w:ascii="Calibri" w:eastAsia="Times New Roman" w:hAnsi="Calibri" w:cs="Times New Roman"/>
              </w:rPr>
            </w:pPr>
            <w:r w:rsidRPr="00A53731">
              <w:rPr>
                <w:rFonts w:ascii="Calibri" w:eastAsia="Times New Roman" w:hAnsi="Calibri" w:cs="Times New Roman"/>
              </w:rPr>
              <w:t xml:space="preserve">D1. % reduction in funding gap for PAs per country based on financial scorecard for each </w:t>
            </w:r>
            <w:r w:rsidR="001D5619">
              <w:rPr>
                <w:rFonts w:ascii="Calibri" w:eastAsia="Times New Roman" w:hAnsi="Calibri" w:cs="Times New Roman"/>
              </w:rPr>
              <w:t>country</w:t>
            </w:r>
            <w:r w:rsidR="001D5619" w:rsidRPr="00A53731">
              <w:rPr>
                <w:rFonts w:ascii="Calibri" w:eastAsia="Times New Roman" w:hAnsi="Calibri" w:cs="Times New Roman"/>
              </w:rPr>
              <w:t xml:space="preserve"> ( or mechanisms for non-countries TBD)</w:t>
            </w:r>
            <w:r w:rsidR="00246EE2">
              <w:rPr>
                <w:rFonts w:ascii="Calibri" w:eastAsia="Times New Roman" w:hAnsi="Calibri" w:cs="Times New Roman"/>
              </w:rPr>
              <w:t>country</w:t>
            </w:r>
          </w:p>
        </w:tc>
      </w:tr>
    </w:tbl>
    <w:p w:rsidR="007678A0" w:rsidRPr="000C7C14" w:rsidRDefault="007678A0" w:rsidP="000C7C14">
      <w:pPr>
        <w:rPr>
          <w:lang w:val="en-029"/>
        </w:rPr>
      </w:pPr>
    </w:p>
    <w:p w:rsidR="000C2124" w:rsidRDefault="007678A0" w:rsidP="007678A0">
      <w:r w:rsidRPr="00305198">
        <w:t>Apart from regional activities</w:t>
      </w:r>
      <w:r w:rsidR="005E274F" w:rsidRPr="00305198">
        <w:t>,</w:t>
      </w:r>
      <w:r w:rsidRPr="00305198">
        <w:t xml:space="preserve"> the Caribbean Challenge </w:t>
      </w:r>
      <w:r w:rsidR="00E61538" w:rsidRPr="00305198">
        <w:t>will be</w:t>
      </w:r>
      <w:r w:rsidRPr="00305198">
        <w:t xml:space="preserve"> supported by country-based activities that will set-up </w:t>
      </w:r>
      <w:r w:rsidR="001C1667" w:rsidRPr="00305198">
        <w:t xml:space="preserve">the NPATFs, </w:t>
      </w:r>
      <w:r w:rsidRPr="00305198">
        <w:t>develop new sustainable finance mechanisms</w:t>
      </w:r>
      <w:r w:rsidR="00E61538" w:rsidRPr="00305198">
        <w:t>,</w:t>
      </w:r>
      <w:r w:rsidRPr="00305198">
        <w:t xml:space="preserve"> </w:t>
      </w:r>
      <w:r w:rsidR="001C1667" w:rsidRPr="00305198">
        <w:t xml:space="preserve">and ultimately reduce the long-standing gap in </w:t>
      </w:r>
      <w:r w:rsidRPr="00305198">
        <w:t xml:space="preserve">financing </w:t>
      </w:r>
      <w:r w:rsidR="001C1667" w:rsidRPr="00305198">
        <w:t xml:space="preserve">for </w:t>
      </w:r>
      <w:r w:rsidRPr="00305198">
        <w:t>protected area</w:t>
      </w:r>
      <w:r w:rsidR="001C1667" w:rsidRPr="00305198">
        <w:t>s (Table 2)</w:t>
      </w:r>
      <w:r w:rsidRPr="00305198">
        <w:t>.</w:t>
      </w:r>
    </w:p>
    <w:p w:rsidR="00623931" w:rsidRDefault="00623931" w:rsidP="007678A0">
      <w:pPr>
        <w:sectPr w:rsidR="00623931" w:rsidSect="00344EB1">
          <w:headerReference w:type="default" r:id="rId23"/>
          <w:footerReference w:type="default" r:id="rId24"/>
          <w:pgSz w:w="12240" w:h="15840"/>
          <w:pgMar w:top="1440" w:right="1440" w:bottom="1440" w:left="1440" w:header="720" w:footer="720" w:gutter="0"/>
          <w:cols w:space="720"/>
          <w:docGrid w:linePitch="360"/>
        </w:sectPr>
      </w:pPr>
    </w:p>
    <w:p w:rsidR="000C2124" w:rsidRDefault="000C2124" w:rsidP="000C2124">
      <w:pPr>
        <w:pStyle w:val="Caption"/>
        <w:keepNext/>
      </w:pPr>
      <w:r>
        <w:lastRenderedPageBreak/>
        <w:t xml:space="preserve">Table </w:t>
      </w:r>
      <w:fldSimple w:instr=" SEQ Table \* ARABIC ">
        <w:r w:rsidR="00695062">
          <w:rPr>
            <w:noProof/>
          </w:rPr>
          <w:t>2</w:t>
        </w:r>
      </w:fldSimple>
      <w:r>
        <w:t>: National level objectives</w:t>
      </w:r>
      <w:r w:rsidR="00C93327">
        <w:t>*</w:t>
      </w:r>
      <w:r>
        <w:t xml:space="preserve"> for </w:t>
      </w:r>
      <w:r w:rsidR="00F9702A">
        <w:t xml:space="preserve">Caribbean Challenge Initiative </w:t>
      </w:r>
      <w:r w:rsidRPr="00B7112D">
        <w:t xml:space="preserve">Sustainable Financing </w:t>
      </w:r>
      <w:r>
        <w:t>Strategy</w:t>
      </w:r>
    </w:p>
    <w:tbl>
      <w:tblPr>
        <w:tblStyle w:val="TableGrid"/>
        <w:tblW w:w="5540" w:type="pct"/>
        <w:tblLayout w:type="fixed"/>
        <w:tblLook w:val="04A0"/>
      </w:tblPr>
      <w:tblGrid>
        <w:gridCol w:w="2087"/>
        <w:gridCol w:w="2885"/>
        <w:gridCol w:w="2876"/>
        <w:gridCol w:w="4228"/>
        <w:gridCol w:w="2523"/>
      </w:tblGrid>
      <w:tr w:rsidR="000C2124" w:rsidRPr="000C2124" w:rsidTr="006374BF">
        <w:trPr>
          <w:trHeight w:val="330"/>
          <w:tblHeader/>
        </w:trPr>
        <w:tc>
          <w:tcPr>
            <w:tcW w:w="5000" w:type="pct"/>
            <w:gridSpan w:val="5"/>
            <w:noWrap/>
            <w:hideMark/>
          </w:tcPr>
          <w:p w:rsidR="000C2124" w:rsidRPr="001C1667" w:rsidRDefault="000C2124" w:rsidP="009B0AE5">
            <w:pPr>
              <w:rPr>
                <w:b/>
                <w:bCs/>
                <w:color w:val="002060"/>
              </w:rPr>
            </w:pPr>
            <w:r w:rsidRPr="001C1667">
              <w:rPr>
                <w:b/>
                <w:bCs/>
                <w:color w:val="002060"/>
              </w:rPr>
              <w:t>Caribbean Challenge Strategy: Establish</w:t>
            </w:r>
            <w:r w:rsidR="00E5012E">
              <w:rPr>
                <w:b/>
                <w:bCs/>
                <w:color w:val="002060"/>
              </w:rPr>
              <w:t>, at the national level,</w:t>
            </w:r>
            <w:r w:rsidRPr="001C1667">
              <w:rPr>
                <w:b/>
                <w:bCs/>
                <w:color w:val="002060"/>
              </w:rPr>
              <w:t xml:space="preserve"> dedicated and permanent sources of funding to expand and improve management effectiveness of </w:t>
            </w:r>
            <w:r w:rsidR="00246EE2">
              <w:rPr>
                <w:b/>
                <w:bCs/>
                <w:color w:val="002060"/>
              </w:rPr>
              <w:t xml:space="preserve">national systems of </w:t>
            </w:r>
            <w:r w:rsidR="00E5012E">
              <w:rPr>
                <w:b/>
                <w:bCs/>
                <w:color w:val="002060"/>
              </w:rPr>
              <w:t xml:space="preserve">protected areas in </w:t>
            </w:r>
            <w:r w:rsidRPr="001C1667">
              <w:rPr>
                <w:b/>
                <w:bCs/>
                <w:color w:val="002060"/>
              </w:rPr>
              <w:t xml:space="preserve">Caribbean </w:t>
            </w:r>
            <w:r w:rsidR="001D5619">
              <w:rPr>
                <w:b/>
                <w:bCs/>
                <w:color w:val="002060"/>
              </w:rPr>
              <w:t>countries participating in the Challenge</w:t>
            </w:r>
            <w:r w:rsidR="009B0AE5">
              <w:rPr>
                <w:b/>
                <w:bCs/>
                <w:color w:val="002060"/>
              </w:rPr>
              <w:t xml:space="preserve"> </w:t>
            </w:r>
            <w:r w:rsidR="00E5012E">
              <w:rPr>
                <w:b/>
                <w:bCs/>
                <w:color w:val="002060"/>
              </w:rPr>
              <w:t>countries participating in the Challenge</w:t>
            </w:r>
            <w:r w:rsidRPr="001C1667">
              <w:rPr>
                <w:b/>
                <w:bCs/>
                <w:color w:val="002060"/>
              </w:rPr>
              <w:t>.</w:t>
            </w:r>
          </w:p>
        </w:tc>
      </w:tr>
      <w:tr w:rsidR="006374BF" w:rsidRPr="000C2124" w:rsidTr="006374BF">
        <w:trPr>
          <w:trHeight w:val="330"/>
          <w:tblHeader/>
        </w:trPr>
        <w:tc>
          <w:tcPr>
            <w:tcW w:w="715" w:type="pct"/>
            <w:shd w:val="clear" w:color="auto" w:fill="B4ECFC" w:themeFill="text2" w:themeFillTint="33"/>
            <w:noWrap/>
            <w:hideMark/>
          </w:tcPr>
          <w:p w:rsidR="000C2124" w:rsidRPr="000C2124" w:rsidRDefault="000C2124" w:rsidP="000C2124">
            <w:pPr>
              <w:rPr>
                <w:b/>
                <w:bCs/>
              </w:rPr>
            </w:pPr>
            <w:r w:rsidRPr="000C2124">
              <w:rPr>
                <w:b/>
                <w:bCs/>
              </w:rPr>
              <w:t xml:space="preserve">General </w:t>
            </w:r>
            <w:r w:rsidR="00201454">
              <w:rPr>
                <w:b/>
                <w:bCs/>
              </w:rPr>
              <w:t xml:space="preserve">National </w:t>
            </w:r>
            <w:r w:rsidRPr="000C2124">
              <w:rPr>
                <w:b/>
                <w:bCs/>
              </w:rPr>
              <w:t>Objectives</w:t>
            </w:r>
          </w:p>
        </w:tc>
        <w:tc>
          <w:tcPr>
            <w:tcW w:w="988" w:type="pct"/>
            <w:hideMark/>
          </w:tcPr>
          <w:p w:rsidR="000C2124" w:rsidRPr="000C2124" w:rsidRDefault="000C2124" w:rsidP="000C2124">
            <w:pPr>
              <w:rPr>
                <w:b/>
                <w:bCs/>
              </w:rPr>
            </w:pPr>
            <w:r w:rsidRPr="000C2124">
              <w:rPr>
                <w:b/>
                <w:bCs/>
              </w:rPr>
              <w:t>Jamaica Objective</w:t>
            </w:r>
            <w:r>
              <w:rPr>
                <w:b/>
                <w:bCs/>
              </w:rPr>
              <w:t>s</w:t>
            </w:r>
          </w:p>
        </w:tc>
        <w:tc>
          <w:tcPr>
            <w:tcW w:w="985" w:type="pct"/>
            <w:hideMark/>
          </w:tcPr>
          <w:p w:rsidR="000C2124" w:rsidRPr="000C2124" w:rsidRDefault="00641099" w:rsidP="000C2124">
            <w:pPr>
              <w:rPr>
                <w:b/>
                <w:bCs/>
              </w:rPr>
            </w:pPr>
            <w:r>
              <w:rPr>
                <w:b/>
                <w:bCs/>
              </w:rPr>
              <w:t>D</w:t>
            </w:r>
            <w:r w:rsidR="009B0AE5">
              <w:rPr>
                <w:b/>
                <w:bCs/>
              </w:rPr>
              <w:t xml:space="preserve">ominican </w:t>
            </w:r>
            <w:r>
              <w:rPr>
                <w:b/>
                <w:bCs/>
              </w:rPr>
              <w:t>R</w:t>
            </w:r>
            <w:r w:rsidR="009B0AE5">
              <w:rPr>
                <w:b/>
                <w:bCs/>
              </w:rPr>
              <w:t>epublic</w:t>
            </w:r>
            <w:r w:rsidR="000C2124" w:rsidRPr="000C2124">
              <w:rPr>
                <w:b/>
                <w:bCs/>
              </w:rPr>
              <w:t xml:space="preserve"> Objective</w:t>
            </w:r>
            <w:r w:rsidR="000C2124">
              <w:rPr>
                <w:b/>
                <w:bCs/>
              </w:rPr>
              <w:t>s</w:t>
            </w:r>
          </w:p>
        </w:tc>
        <w:tc>
          <w:tcPr>
            <w:tcW w:w="1448" w:type="pct"/>
            <w:hideMark/>
          </w:tcPr>
          <w:p w:rsidR="000C2124" w:rsidRPr="000C2124" w:rsidRDefault="009B0AE5" w:rsidP="00F11F4B">
            <w:pPr>
              <w:rPr>
                <w:b/>
                <w:bCs/>
              </w:rPr>
            </w:pPr>
            <w:r>
              <w:rPr>
                <w:b/>
                <w:bCs/>
              </w:rPr>
              <w:t xml:space="preserve">Eastern Caribbean </w:t>
            </w:r>
            <w:r w:rsidR="00305198">
              <w:rPr>
                <w:b/>
                <w:bCs/>
              </w:rPr>
              <w:t xml:space="preserve">(5 countries) </w:t>
            </w:r>
            <w:r w:rsidR="000C2124">
              <w:rPr>
                <w:b/>
                <w:bCs/>
              </w:rPr>
              <w:t>Objectives</w:t>
            </w:r>
          </w:p>
        </w:tc>
        <w:tc>
          <w:tcPr>
            <w:tcW w:w="863" w:type="pct"/>
            <w:hideMark/>
          </w:tcPr>
          <w:p w:rsidR="000C2124" w:rsidRPr="000C2124" w:rsidRDefault="00641099" w:rsidP="000C2124">
            <w:pPr>
              <w:rPr>
                <w:b/>
                <w:bCs/>
              </w:rPr>
            </w:pPr>
            <w:r>
              <w:rPr>
                <w:b/>
                <w:bCs/>
              </w:rPr>
              <w:t>Bahamas</w:t>
            </w:r>
            <w:r w:rsidR="000C2124" w:rsidRPr="000C2124">
              <w:rPr>
                <w:b/>
                <w:bCs/>
              </w:rPr>
              <w:t xml:space="preserve"> Objective</w:t>
            </w:r>
            <w:r w:rsidR="000C2124">
              <w:rPr>
                <w:b/>
                <w:bCs/>
              </w:rPr>
              <w:t>s</w:t>
            </w:r>
            <w:r w:rsidR="000C2124" w:rsidRPr="000C2124">
              <w:rPr>
                <w:b/>
                <w:bCs/>
              </w:rPr>
              <w:t xml:space="preserve"> </w:t>
            </w:r>
          </w:p>
        </w:tc>
      </w:tr>
      <w:tr w:rsidR="006374BF" w:rsidRPr="000C2124" w:rsidTr="006374BF">
        <w:trPr>
          <w:trHeight w:val="2123"/>
        </w:trPr>
        <w:tc>
          <w:tcPr>
            <w:tcW w:w="715" w:type="pct"/>
            <w:vMerge w:val="restart"/>
            <w:shd w:val="clear" w:color="auto" w:fill="B4ECFC" w:themeFill="text2" w:themeFillTint="33"/>
            <w:vAlign w:val="center"/>
            <w:hideMark/>
          </w:tcPr>
          <w:p w:rsidR="000C2124" w:rsidRPr="000C2124" w:rsidRDefault="000C2124" w:rsidP="003D1AEC">
            <w:pPr>
              <w:rPr>
                <w:b/>
                <w:bCs/>
              </w:rPr>
            </w:pPr>
            <w:r w:rsidRPr="000C2124">
              <w:rPr>
                <w:b/>
                <w:bCs/>
              </w:rPr>
              <w:t>NPATF</w:t>
            </w:r>
            <w:r w:rsidR="00201454">
              <w:rPr>
                <w:b/>
                <w:bCs/>
              </w:rPr>
              <w:t>s</w:t>
            </w:r>
            <w:r w:rsidRPr="000C2124">
              <w:rPr>
                <w:b/>
                <w:bCs/>
              </w:rPr>
              <w:t xml:space="preserve"> </w:t>
            </w:r>
            <w:r w:rsidR="00102656">
              <w:rPr>
                <w:b/>
                <w:bCs/>
              </w:rPr>
              <w:t xml:space="preserve"> are </w:t>
            </w:r>
            <w:r w:rsidR="003D1AEC">
              <w:rPr>
                <w:b/>
                <w:bCs/>
              </w:rPr>
              <w:t xml:space="preserve">established </w:t>
            </w:r>
            <w:r w:rsidRPr="000C2124">
              <w:rPr>
                <w:b/>
                <w:bCs/>
              </w:rPr>
              <w:t>and conforming to CBF stipulations</w:t>
            </w:r>
          </w:p>
        </w:tc>
        <w:tc>
          <w:tcPr>
            <w:tcW w:w="988" w:type="pct"/>
            <w:tcBorders>
              <w:bottom w:val="single" w:sz="4" w:space="0" w:color="auto"/>
            </w:tcBorders>
            <w:hideMark/>
          </w:tcPr>
          <w:p w:rsidR="000C2124" w:rsidRPr="000C2124" w:rsidRDefault="000C2124" w:rsidP="00A94A83">
            <w:r w:rsidRPr="000C2124">
              <w:t xml:space="preserve">By Dec. 2012, NPATF established and conforms </w:t>
            </w:r>
            <w:r w:rsidR="00A94A83">
              <w:t xml:space="preserve">to </w:t>
            </w:r>
            <w:r w:rsidRPr="000C2124">
              <w:t>CBF stipulations</w:t>
            </w:r>
          </w:p>
        </w:tc>
        <w:tc>
          <w:tcPr>
            <w:tcW w:w="985" w:type="pct"/>
            <w:tcBorders>
              <w:bottom w:val="single" w:sz="4" w:space="0" w:color="auto"/>
            </w:tcBorders>
            <w:hideMark/>
          </w:tcPr>
          <w:p w:rsidR="000C2124" w:rsidRPr="000C2124" w:rsidRDefault="000C2124" w:rsidP="000C2124">
            <w:r w:rsidRPr="000C2124">
              <w:t xml:space="preserve">By May 2012, bylaws for NPATFs </w:t>
            </w:r>
            <w:r w:rsidR="00A94A83">
              <w:t>conform to</w:t>
            </w:r>
            <w:r w:rsidRPr="000C2124">
              <w:t xml:space="preserve"> CBF stipulations</w:t>
            </w:r>
          </w:p>
        </w:tc>
        <w:tc>
          <w:tcPr>
            <w:tcW w:w="1448" w:type="pct"/>
            <w:tcBorders>
              <w:bottom w:val="single" w:sz="4" w:space="0" w:color="auto"/>
            </w:tcBorders>
            <w:hideMark/>
          </w:tcPr>
          <w:p w:rsidR="000C2124" w:rsidRPr="000C2124" w:rsidRDefault="000C2124" w:rsidP="00201454">
            <w:r w:rsidRPr="000C2124">
              <w:t>By 2013, two and by 2015, four conforming NPATFs have been established and operational through participatory process.</w:t>
            </w:r>
          </w:p>
        </w:tc>
        <w:tc>
          <w:tcPr>
            <w:tcW w:w="863" w:type="pct"/>
            <w:hideMark/>
          </w:tcPr>
          <w:p w:rsidR="000C2124" w:rsidRPr="000C2124" w:rsidRDefault="000C2124" w:rsidP="000C2124">
            <w:r w:rsidRPr="000C2124">
              <w:t xml:space="preserve">By May 2012, bylaws for Bahamas Protected Area Fund conform </w:t>
            </w:r>
            <w:r w:rsidR="00F11F4B" w:rsidRPr="000C2124">
              <w:t>to</w:t>
            </w:r>
            <w:r w:rsidRPr="000C2124">
              <w:t xml:space="preserve"> CBF stipulations.</w:t>
            </w:r>
          </w:p>
        </w:tc>
      </w:tr>
      <w:tr w:rsidR="006374BF" w:rsidRPr="000C2124" w:rsidTr="006374BF">
        <w:trPr>
          <w:trHeight w:val="900"/>
        </w:trPr>
        <w:tc>
          <w:tcPr>
            <w:tcW w:w="715" w:type="pct"/>
            <w:vMerge/>
            <w:tcBorders>
              <w:right w:val="single" w:sz="4" w:space="0" w:color="auto"/>
            </w:tcBorders>
            <w:shd w:val="clear" w:color="auto" w:fill="B4ECFC" w:themeFill="text2" w:themeFillTint="33"/>
            <w:hideMark/>
          </w:tcPr>
          <w:p w:rsidR="009B0AE5" w:rsidRPr="000C2124" w:rsidRDefault="009B0AE5" w:rsidP="000C2124">
            <w:pPr>
              <w:rPr>
                <w:b/>
                <w:bCs/>
              </w:rPr>
            </w:pPr>
          </w:p>
        </w:tc>
        <w:tc>
          <w:tcPr>
            <w:tcW w:w="988" w:type="pct"/>
            <w:tcBorders>
              <w:top w:val="single" w:sz="4" w:space="0" w:color="auto"/>
              <w:left w:val="single" w:sz="4" w:space="0" w:color="auto"/>
              <w:bottom w:val="single" w:sz="4" w:space="0" w:color="auto"/>
              <w:right w:val="nil"/>
            </w:tcBorders>
            <w:shd w:val="clear" w:color="auto" w:fill="D9D9D9" w:themeFill="background1" w:themeFillShade="D9"/>
            <w:hideMark/>
          </w:tcPr>
          <w:p w:rsidR="009B0AE5" w:rsidRPr="000C2124" w:rsidRDefault="009B0AE5" w:rsidP="009B0AE5">
            <w:r w:rsidRPr="000C2124">
              <w:t> </w:t>
            </w:r>
          </w:p>
        </w:tc>
        <w:tc>
          <w:tcPr>
            <w:tcW w:w="985" w:type="pct"/>
            <w:tcBorders>
              <w:top w:val="single" w:sz="4" w:space="0" w:color="auto"/>
              <w:left w:val="nil"/>
              <w:bottom w:val="single" w:sz="4" w:space="0" w:color="auto"/>
              <w:right w:val="nil"/>
            </w:tcBorders>
            <w:shd w:val="clear" w:color="auto" w:fill="D9D9D9" w:themeFill="background1" w:themeFillShade="D9"/>
          </w:tcPr>
          <w:p w:rsidR="009B0AE5" w:rsidRPr="000C2124" w:rsidRDefault="009B0AE5" w:rsidP="009B0AE5"/>
        </w:tc>
        <w:tc>
          <w:tcPr>
            <w:tcW w:w="1448" w:type="pct"/>
            <w:tcBorders>
              <w:top w:val="single" w:sz="4" w:space="0" w:color="auto"/>
              <w:left w:val="nil"/>
              <w:bottom w:val="single" w:sz="4" w:space="0" w:color="auto"/>
              <w:right w:val="single" w:sz="4" w:space="0" w:color="auto"/>
            </w:tcBorders>
            <w:shd w:val="clear" w:color="auto" w:fill="D9D9D9" w:themeFill="background1" w:themeFillShade="D9"/>
          </w:tcPr>
          <w:p w:rsidR="009B0AE5" w:rsidRPr="000C2124" w:rsidRDefault="009B0AE5" w:rsidP="009B0AE5"/>
        </w:tc>
        <w:tc>
          <w:tcPr>
            <w:tcW w:w="863" w:type="pct"/>
            <w:tcBorders>
              <w:left w:val="single" w:sz="4" w:space="0" w:color="auto"/>
            </w:tcBorders>
            <w:hideMark/>
          </w:tcPr>
          <w:p w:rsidR="009B0AE5" w:rsidRPr="000C2124" w:rsidRDefault="009B0AE5" w:rsidP="000C2124">
            <w:r w:rsidRPr="000C2124">
              <w:t xml:space="preserve">Parliament passes legislation to create the BPAF by end of 2012. </w:t>
            </w:r>
          </w:p>
        </w:tc>
      </w:tr>
      <w:tr w:rsidR="006374BF" w:rsidRPr="000C2124" w:rsidTr="006374BF">
        <w:trPr>
          <w:trHeight w:val="1575"/>
        </w:trPr>
        <w:tc>
          <w:tcPr>
            <w:tcW w:w="715" w:type="pct"/>
            <w:shd w:val="clear" w:color="auto" w:fill="B4ECFC" w:themeFill="text2" w:themeFillTint="33"/>
            <w:hideMark/>
          </w:tcPr>
          <w:p w:rsidR="000C2124" w:rsidRPr="000C2124" w:rsidRDefault="000C2124" w:rsidP="003D1AEC">
            <w:pPr>
              <w:rPr>
                <w:b/>
                <w:bCs/>
              </w:rPr>
            </w:pPr>
            <w:r w:rsidRPr="000C2124">
              <w:rPr>
                <w:b/>
                <w:bCs/>
              </w:rPr>
              <w:t xml:space="preserve">New sources of </w:t>
            </w:r>
            <w:r w:rsidR="001D5619">
              <w:rPr>
                <w:b/>
                <w:bCs/>
              </w:rPr>
              <w:t>p</w:t>
            </w:r>
            <w:r w:rsidRPr="000C2124">
              <w:rPr>
                <w:b/>
                <w:bCs/>
              </w:rPr>
              <w:t xml:space="preserve">rotected </w:t>
            </w:r>
            <w:r w:rsidR="001D5619">
              <w:rPr>
                <w:b/>
                <w:bCs/>
              </w:rPr>
              <w:t>a</w:t>
            </w:r>
            <w:r w:rsidRPr="000C2124">
              <w:rPr>
                <w:b/>
                <w:bCs/>
              </w:rPr>
              <w:t>rea</w:t>
            </w:r>
            <w:r w:rsidR="003D1AEC">
              <w:rPr>
                <w:b/>
                <w:bCs/>
              </w:rPr>
              <w:t xml:space="preserve"> </w:t>
            </w:r>
            <w:r w:rsidR="00C93327">
              <w:rPr>
                <w:b/>
                <w:bCs/>
              </w:rPr>
              <w:t>f</w:t>
            </w:r>
            <w:r w:rsidRPr="000C2124">
              <w:rPr>
                <w:b/>
                <w:bCs/>
              </w:rPr>
              <w:t xml:space="preserve">unding </w:t>
            </w:r>
            <w:r w:rsidR="00C93327" w:rsidRPr="000C2124">
              <w:rPr>
                <w:b/>
                <w:bCs/>
              </w:rPr>
              <w:t xml:space="preserve">generated </w:t>
            </w:r>
            <w:r w:rsidRPr="000C2124">
              <w:rPr>
                <w:b/>
                <w:bCs/>
              </w:rPr>
              <w:t xml:space="preserve">to match CBF proceeds </w:t>
            </w:r>
          </w:p>
        </w:tc>
        <w:tc>
          <w:tcPr>
            <w:tcW w:w="988" w:type="pct"/>
            <w:tcBorders>
              <w:top w:val="single" w:sz="4" w:space="0" w:color="auto"/>
            </w:tcBorders>
            <w:hideMark/>
          </w:tcPr>
          <w:p w:rsidR="000C2124" w:rsidRPr="000C2124" w:rsidRDefault="000C2124" w:rsidP="00F11F4B">
            <w:r w:rsidRPr="000C2124">
              <w:t>By 2015, at least $250</w:t>
            </w:r>
            <w:r w:rsidR="00F11F4B">
              <w:t>k</w:t>
            </w:r>
            <w:r w:rsidRPr="000C2124">
              <w:t xml:space="preserve"> in new</w:t>
            </w:r>
            <w:r w:rsidR="00410440">
              <w:t>, sustainable</w:t>
            </w:r>
            <w:r w:rsidRPr="000C2124">
              <w:t xml:space="preserve"> PA revenues </w:t>
            </w:r>
            <w:r w:rsidR="00F11F4B" w:rsidRPr="000C2124">
              <w:t>is</w:t>
            </w:r>
            <w:r w:rsidRPr="000C2124">
              <w:t xml:space="preserve"> generated at the local level flows into NPATF and qualifies as match for CBF proceeds.</w:t>
            </w:r>
          </w:p>
        </w:tc>
        <w:tc>
          <w:tcPr>
            <w:tcW w:w="985" w:type="pct"/>
            <w:tcBorders>
              <w:top w:val="single" w:sz="4" w:space="0" w:color="auto"/>
            </w:tcBorders>
            <w:hideMark/>
          </w:tcPr>
          <w:p w:rsidR="000C2124" w:rsidRPr="000C2124" w:rsidRDefault="000C2124" w:rsidP="000C2124">
            <w:r w:rsidRPr="000C2124">
              <w:t xml:space="preserve">By 2015, the full local revenue match ($250K) to CBF proceeds go to NPATFs </w:t>
            </w:r>
          </w:p>
        </w:tc>
        <w:tc>
          <w:tcPr>
            <w:tcW w:w="1448" w:type="pct"/>
            <w:tcBorders>
              <w:top w:val="single" w:sz="4" w:space="0" w:color="auto"/>
            </w:tcBorders>
            <w:hideMark/>
          </w:tcPr>
          <w:p w:rsidR="000C2124" w:rsidRPr="000C2124" w:rsidRDefault="000C2124" w:rsidP="000C2124">
            <w:r w:rsidRPr="000C2124">
              <w:t xml:space="preserve">By 2015 2, and 4 by 2017, the full local revenue match </w:t>
            </w:r>
            <w:r w:rsidR="00D67114">
              <w:t>($1</w:t>
            </w:r>
            <w:r w:rsidR="00D67114" w:rsidRPr="000C2124">
              <w:t xml:space="preserve">50K) </w:t>
            </w:r>
            <w:r w:rsidRPr="000C2124">
              <w:t>to CBF incentives proceeds go to NPATFs</w:t>
            </w:r>
          </w:p>
        </w:tc>
        <w:tc>
          <w:tcPr>
            <w:tcW w:w="863" w:type="pct"/>
            <w:hideMark/>
          </w:tcPr>
          <w:p w:rsidR="000C2124" w:rsidRPr="000C2124" w:rsidRDefault="000C2124" w:rsidP="000C2124">
            <w:r w:rsidRPr="000C2124">
              <w:t xml:space="preserve">By 2015, the full local revenue </w:t>
            </w:r>
            <w:r w:rsidR="00F11F4B" w:rsidRPr="000C2124">
              <w:t xml:space="preserve">match </w:t>
            </w:r>
            <w:r w:rsidR="00F11F4B">
              <w:t>($50</w:t>
            </w:r>
            <w:r w:rsidR="00F11F4B" w:rsidRPr="000C2124">
              <w:t>0K) to CBF proceeds goes</w:t>
            </w:r>
            <w:r w:rsidRPr="000C2124">
              <w:t xml:space="preserve"> to Bahamas Protected Areas Fund. </w:t>
            </w:r>
          </w:p>
        </w:tc>
      </w:tr>
      <w:tr w:rsidR="006374BF" w:rsidRPr="000C2124" w:rsidTr="006374BF">
        <w:trPr>
          <w:trHeight w:val="1500"/>
        </w:trPr>
        <w:tc>
          <w:tcPr>
            <w:tcW w:w="715" w:type="pct"/>
            <w:vMerge w:val="restart"/>
            <w:shd w:val="clear" w:color="auto" w:fill="B4ECFC" w:themeFill="text2" w:themeFillTint="33"/>
            <w:hideMark/>
          </w:tcPr>
          <w:p w:rsidR="00201454" w:rsidRPr="000C2124" w:rsidRDefault="00201454" w:rsidP="000C2124">
            <w:pPr>
              <w:rPr>
                <w:b/>
                <w:bCs/>
              </w:rPr>
            </w:pPr>
            <w:r w:rsidRPr="000C2124">
              <w:rPr>
                <w:b/>
                <w:bCs/>
              </w:rPr>
              <w:t xml:space="preserve">Protected </w:t>
            </w:r>
            <w:r w:rsidR="00F40301">
              <w:rPr>
                <w:b/>
                <w:bCs/>
              </w:rPr>
              <w:t>a</w:t>
            </w:r>
            <w:r w:rsidR="00F40301" w:rsidRPr="000C2124">
              <w:rPr>
                <w:b/>
                <w:bCs/>
              </w:rPr>
              <w:t>rea</w:t>
            </w:r>
            <w:r w:rsidRPr="000C2124">
              <w:rPr>
                <w:b/>
                <w:bCs/>
              </w:rPr>
              <w:t xml:space="preserve"> funding gap reduced</w:t>
            </w:r>
            <w:r w:rsidR="00246EE2">
              <w:rPr>
                <w:rStyle w:val="CommentReference"/>
              </w:rPr>
              <w:commentReference w:id="13"/>
            </w:r>
          </w:p>
          <w:p w:rsidR="00201454" w:rsidRPr="000C2124" w:rsidRDefault="00201454" w:rsidP="000C2124">
            <w:pPr>
              <w:rPr>
                <w:b/>
                <w:bCs/>
              </w:rPr>
            </w:pPr>
            <w:r w:rsidRPr="000C2124">
              <w:rPr>
                <w:b/>
                <w:bCs/>
              </w:rPr>
              <w:t> </w:t>
            </w:r>
          </w:p>
        </w:tc>
        <w:tc>
          <w:tcPr>
            <w:tcW w:w="988" w:type="pct"/>
            <w:tcBorders>
              <w:bottom w:val="single" w:sz="4" w:space="0" w:color="auto"/>
            </w:tcBorders>
            <w:shd w:val="clear" w:color="auto" w:fill="D9D9D9" w:themeFill="background1" w:themeFillShade="D9"/>
            <w:hideMark/>
          </w:tcPr>
          <w:p w:rsidR="00201454" w:rsidRPr="001126D8" w:rsidRDefault="00201454" w:rsidP="000C2124">
            <w:pPr>
              <w:rPr>
                <w:i/>
              </w:rPr>
            </w:pPr>
            <w:r w:rsidRPr="000C2124">
              <w:t> </w:t>
            </w:r>
            <w:commentRangeStart w:id="14"/>
            <w:r w:rsidR="001126D8" w:rsidRPr="001126D8">
              <w:rPr>
                <w:i/>
              </w:rPr>
              <w:t>See above</w:t>
            </w:r>
            <w:commentRangeEnd w:id="14"/>
            <w:r w:rsidR="001126D8">
              <w:rPr>
                <w:rStyle w:val="CommentReference"/>
              </w:rPr>
              <w:commentReference w:id="14"/>
            </w:r>
          </w:p>
        </w:tc>
        <w:tc>
          <w:tcPr>
            <w:tcW w:w="985" w:type="pct"/>
            <w:tcBorders>
              <w:bottom w:val="single" w:sz="4" w:space="0" w:color="auto"/>
            </w:tcBorders>
            <w:hideMark/>
          </w:tcPr>
          <w:p w:rsidR="00201454" w:rsidRPr="000C2124" w:rsidRDefault="00201454" w:rsidP="000C2124">
            <w:r w:rsidRPr="000C2124">
              <w:t xml:space="preserve">By 2020, close 25 % of </w:t>
            </w:r>
            <w:r w:rsidR="00D67114">
              <w:t>annual</w:t>
            </w:r>
            <w:r w:rsidR="00D67114" w:rsidRPr="000C2124">
              <w:t xml:space="preserve"> </w:t>
            </w:r>
            <w:r w:rsidR="00D67114">
              <w:t>funding</w:t>
            </w:r>
            <w:r w:rsidR="00D67114" w:rsidRPr="000C2124">
              <w:t xml:space="preserve"> </w:t>
            </w:r>
            <w:r w:rsidRPr="000C2124">
              <w:t xml:space="preserve">gap (as of 2007) </w:t>
            </w:r>
            <w:r w:rsidR="00F40301">
              <w:t>for national</w:t>
            </w:r>
            <w:r w:rsidR="00F40301" w:rsidRPr="000C2124">
              <w:t xml:space="preserve"> </w:t>
            </w:r>
            <w:r w:rsidR="00D67114">
              <w:t>for national</w:t>
            </w:r>
            <w:r w:rsidRPr="000C2124">
              <w:t xml:space="preserve"> </w:t>
            </w:r>
            <w:r w:rsidR="00D67114">
              <w:t>protected area</w:t>
            </w:r>
            <w:r w:rsidR="00D67114" w:rsidRPr="000C2124">
              <w:t xml:space="preserve"> </w:t>
            </w:r>
            <w:r w:rsidR="00F40301" w:rsidRPr="000C2124">
              <w:t>system</w:t>
            </w:r>
          </w:p>
        </w:tc>
        <w:tc>
          <w:tcPr>
            <w:tcW w:w="1448" w:type="pct"/>
            <w:hideMark/>
          </w:tcPr>
          <w:p w:rsidR="00201454" w:rsidRPr="000C2124" w:rsidRDefault="00201454" w:rsidP="00896A5F">
            <w:r w:rsidRPr="000C2124">
              <w:t xml:space="preserve"> By 2020</w:t>
            </w:r>
            <w:r w:rsidR="00145CC0">
              <w:t>,</w:t>
            </w:r>
            <w:r w:rsidRPr="000C2124">
              <w:t xml:space="preserve"> </w:t>
            </w:r>
            <w:r w:rsidR="00D67114">
              <w:t>close</w:t>
            </w:r>
            <w:r w:rsidR="00896A5F">
              <w:t>50% (approx $700k</w:t>
            </w:r>
            <w:r w:rsidR="00F40301" w:rsidRPr="000C2124">
              <w:t xml:space="preserve"> per year*) of annual funding gap for </w:t>
            </w:r>
            <w:r w:rsidR="00F40301">
              <w:t>national</w:t>
            </w:r>
            <w:r w:rsidR="00F40301" w:rsidRPr="000C2124">
              <w:t xml:space="preserve"> </w:t>
            </w:r>
            <w:r w:rsidR="00F40301">
              <w:t>p</w:t>
            </w:r>
            <w:r w:rsidR="00F40301" w:rsidRPr="000C2124">
              <w:t xml:space="preserve">rotected </w:t>
            </w:r>
            <w:r w:rsidR="00F40301">
              <w:t>a</w:t>
            </w:r>
            <w:r w:rsidR="00F40301" w:rsidRPr="000C2124">
              <w:t>rea</w:t>
            </w:r>
            <w:r w:rsidR="00F40301">
              <w:t xml:space="preserve"> systems</w:t>
            </w:r>
            <w:r w:rsidR="00F40301" w:rsidRPr="000C2124">
              <w:t xml:space="preserve"> in at least  4 countries</w:t>
            </w:r>
            <w:r w:rsidR="00BD78A7">
              <w:t xml:space="preserve"> </w:t>
            </w:r>
            <w:r w:rsidR="00D67114">
              <w:t>national</w:t>
            </w:r>
            <w:r w:rsidRPr="000C2124">
              <w:t xml:space="preserve"> </w:t>
            </w:r>
            <w:r w:rsidR="00D67114">
              <w:t>p</w:t>
            </w:r>
            <w:r w:rsidRPr="000C2124">
              <w:t xml:space="preserve">rotected </w:t>
            </w:r>
            <w:r w:rsidR="00D67114">
              <w:t>a</w:t>
            </w:r>
            <w:r w:rsidRPr="000C2124">
              <w:t>rea</w:t>
            </w:r>
            <w:r w:rsidR="00D67114">
              <w:t xml:space="preserve"> systems</w:t>
            </w:r>
          </w:p>
        </w:tc>
        <w:tc>
          <w:tcPr>
            <w:tcW w:w="863" w:type="pct"/>
            <w:hideMark/>
          </w:tcPr>
          <w:p w:rsidR="00201454" w:rsidRPr="000C2124" w:rsidRDefault="00201454" w:rsidP="000C2124">
            <w:r w:rsidRPr="000C2124">
              <w:t xml:space="preserve">By 2014, $4 million in TNC and national match commitments for  co-financing Bahamian GEF full-sized projects </w:t>
            </w:r>
            <w:r w:rsidR="001126D8">
              <w:t xml:space="preserve">for PAs </w:t>
            </w:r>
            <w:r w:rsidRPr="000C2124">
              <w:t>met</w:t>
            </w:r>
          </w:p>
        </w:tc>
      </w:tr>
      <w:tr w:rsidR="006374BF" w:rsidRPr="000C2124" w:rsidTr="006374BF">
        <w:trPr>
          <w:trHeight w:val="557"/>
        </w:trPr>
        <w:tc>
          <w:tcPr>
            <w:tcW w:w="715" w:type="pct"/>
            <w:vMerge/>
            <w:tcBorders>
              <w:right w:val="single" w:sz="4" w:space="0" w:color="auto"/>
            </w:tcBorders>
            <w:shd w:val="clear" w:color="auto" w:fill="B4ECFC" w:themeFill="text2" w:themeFillTint="33"/>
            <w:noWrap/>
            <w:hideMark/>
          </w:tcPr>
          <w:p w:rsidR="00201454" w:rsidRPr="000C2124" w:rsidRDefault="00201454" w:rsidP="000C2124">
            <w:pPr>
              <w:rPr>
                <w:b/>
                <w:bCs/>
              </w:rPr>
            </w:pPr>
          </w:p>
        </w:tc>
        <w:tc>
          <w:tcPr>
            <w:tcW w:w="988" w:type="pct"/>
            <w:tcBorders>
              <w:top w:val="single" w:sz="4" w:space="0" w:color="auto"/>
              <w:left w:val="single" w:sz="4" w:space="0" w:color="auto"/>
              <w:bottom w:val="single" w:sz="4" w:space="0" w:color="auto"/>
              <w:right w:val="nil"/>
            </w:tcBorders>
            <w:shd w:val="clear" w:color="auto" w:fill="D9D9D9" w:themeFill="background1" w:themeFillShade="D9"/>
            <w:hideMark/>
          </w:tcPr>
          <w:p w:rsidR="00201454" w:rsidRPr="000C2124" w:rsidRDefault="00201454" w:rsidP="000C2124">
            <w:r w:rsidRPr="000C2124">
              <w:t> </w:t>
            </w:r>
          </w:p>
        </w:tc>
        <w:tc>
          <w:tcPr>
            <w:tcW w:w="985" w:type="pct"/>
            <w:tcBorders>
              <w:top w:val="single" w:sz="4" w:space="0" w:color="auto"/>
              <w:left w:val="nil"/>
              <w:bottom w:val="single" w:sz="4" w:space="0" w:color="auto"/>
              <w:right w:val="single" w:sz="4" w:space="0" w:color="auto"/>
            </w:tcBorders>
            <w:shd w:val="clear" w:color="auto" w:fill="D9D9D9" w:themeFill="background1" w:themeFillShade="D9"/>
            <w:hideMark/>
          </w:tcPr>
          <w:p w:rsidR="00201454" w:rsidRPr="000C2124" w:rsidRDefault="00201454" w:rsidP="000C2124">
            <w:r w:rsidRPr="000C2124">
              <w:t> </w:t>
            </w:r>
          </w:p>
        </w:tc>
        <w:tc>
          <w:tcPr>
            <w:tcW w:w="1448" w:type="pct"/>
            <w:tcBorders>
              <w:left w:val="single" w:sz="4" w:space="0" w:color="auto"/>
            </w:tcBorders>
            <w:hideMark/>
          </w:tcPr>
          <w:p w:rsidR="00201454" w:rsidRPr="000C2124" w:rsidRDefault="00201454" w:rsidP="000C2124">
            <w:r w:rsidRPr="000C2124">
              <w:t>National commitments for GEF co-financing met by all five countries by 2014</w:t>
            </w:r>
          </w:p>
        </w:tc>
        <w:tc>
          <w:tcPr>
            <w:tcW w:w="863" w:type="pct"/>
            <w:shd w:val="clear" w:color="auto" w:fill="D9D9D9" w:themeFill="background1" w:themeFillShade="D9"/>
            <w:noWrap/>
            <w:hideMark/>
          </w:tcPr>
          <w:p w:rsidR="00201454" w:rsidRPr="000C2124" w:rsidRDefault="00201454" w:rsidP="00C93327">
            <w:pPr>
              <w:keepNext/>
            </w:pPr>
            <w:r w:rsidRPr="000C2124">
              <w:t> </w:t>
            </w:r>
          </w:p>
        </w:tc>
      </w:tr>
    </w:tbl>
    <w:p w:rsidR="006D55F4" w:rsidRDefault="00C93327" w:rsidP="00C93327">
      <w:pPr>
        <w:pStyle w:val="Caption"/>
        <w:rPr>
          <w:lang w:val="en-029"/>
        </w:rPr>
      </w:pPr>
      <w:r w:rsidRPr="00C93327">
        <w:rPr>
          <w:b w:val="0"/>
          <w:bCs w:val="0"/>
          <w:lang w:val="en-029"/>
        </w:rPr>
        <w:t>*</w:t>
      </w:r>
      <w:r>
        <w:rPr>
          <w:lang w:val="en-029"/>
        </w:rPr>
        <w:t xml:space="preserve"> See Appendix II for the Sustainable Finance strategy indicators </w:t>
      </w:r>
    </w:p>
    <w:p w:rsidR="00623931" w:rsidRDefault="00623931">
      <w:pPr>
        <w:rPr>
          <w:lang w:val="en-029"/>
        </w:rPr>
        <w:sectPr w:rsidR="00623931" w:rsidSect="00623931">
          <w:pgSz w:w="15840" w:h="12240" w:orient="landscape"/>
          <w:pgMar w:top="1440" w:right="1440" w:bottom="1440" w:left="1440" w:header="720" w:footer="720" w:gutter="0"/>
          <w:cols w:space="720"/>
          <w:docGrid w:linePitch="360"/>
        </w:sectPr>
      </w:pPr>
    </w:p>
    <w:p w:rsidR="00967BA7" w:rsidRDefault="00967BA7">
      <w:pPr>
        <w:rPr>
          <w:rFonts w:asciiTheme="majorHAnsi" w:eastAsiaTheme="majorEastAsia" w:hAnsiTheme="majorHAnsi" w:cstheme="majorBidi"/>
          <w:b/>
          <w:bCs/>
          <w:color w:val="0F6FC6" w:themeColor="accent1"/>
          <w:sz w:val="26"/>
          <w:szCs w:val="26"/>
          <w:lang w:val="en-029"/>
        </w:rPr>
      </w:pPr>
    </w:p>
    <w:p w:rsidR="00232AB5" w:rsidRPr="006D4FB6" w:rsidRDefault="002D5408" w:rsidP="00232AB5">
      <w:pPr>
        <w:pStyle w:val="Heading2"/>
        <w:rPr>
          <w:lang w:val="en-029"/>
        </w:rPr>
      </w:pPr>
      <w:bookmarkStart w:id="15" w:name="_Toc295219026"/>
      <w:r>
        <w:rPr>
          <w:lang w:val="en-029"/>
        </w:rPr>
        <w:t xml:space="preserve">Strategy Effectiveness Measures: </w:t>
      </w:r>
      <w:r w:rsidR="00232AB5">
        <w:rPr>
          <w:lang w:val="en-029"/>
        </w:rPr>
        <w:t xml:space="preserve">Expansion and </w:t>
      </w:r>
      <w:r w:rsidR="006133B7">
        <w:rPr>
          <w:lang w:val="en-029"/>
        </w:rPr>
        <w:t>Enhancement</w:t>
      </w:r>
      <w:r w:rsidR="00232AB5">
        <w:rPr>
          <w:lang w:val="en-029"/>
        </w:rPr>
        <w:t xml:space="preserve"> of Marine</w:t>
      </w:r>
      <w:r w:rsidR="00232AB5" w:rsidRPr="006D4FB6">
        <w:rPr>
          <w:lang w:val="en-029"/>
        </w:rPr>
        <w:t xml:space="preserve"> Protected Areas</w:t>
      </w:r>
      <w:bookmarkEnd w:id="15"/>
    </w:p>
    <w:p w:rsidR="00AE4638" w:rsidRDefault="00AE4638" w:rsidP="00F91014">
      <w:pPr>
        <w:rPr>
          <w:i/>
          <w:lang w:val="en-029"/>
        </w:rPr>
      </w:pPr>
    </w:p>
    <w:p w:rsidR="00232AB5" w:rsidRDefault="006133B7" w:rsidP="00F91014">
      <w:pPr>
        <w:rPr>
          <w:i/>
          <w:lang w:val="en-029"/>
        </w:rPr>
      </w:pPr>
      <w:r w:rsidRPr="00C60DF7">
        <w:rPr>
          <w:i/>
          <w:lang w:val="en-029"/>
        </w:rPr>
        <w:t xml:space="preserve">Strategy Summary: </w:t>
      </w:r>
      <w:r>
        <w:rPr>
          <w:i/>
          <w:lang w:val="en-029"/>
        </w:rPr>
        <w:t>This strategy aims to e</w:t>
      </w:r>
      <w:r w:rsidRPr="00C60DF7">
        <w:rPr>
          <w:i/>
          <w:lang w:val="en-029"/>
        </w:rPr>
        <w:t xml:space="preserve">stablish new </w:t>
      </w:r>
      <w:r>
        <w:rPr>
          <w:i/>
          <w:lang w:val="en-029"/>
        </w:rPr>
        <w:t xml:space="preserve">protected areas </w:t>
      </w:r>
      <w:r w:rsidRPr="00C60DF7">
        <w:rPr>
          <w:i/>
          <w:lang w:val="en-029"/>
        </w:rPr>
        <w:t xml:space="preserve">and strengthen </w:t>
      </w:r>
      <w:r>
        <w:rPr>
          <w:i/>
          <w:lang w:val="en-029"/>
        </w:rPr>
        <w:t xml:space="preserve">the management of </w:t>
      </w:r>
      <w:r w:rsidRPr="00C60DF7">
        <w:rPr>
          <w:i/>
          <w:lang w:val="en-029"/>
        </w:rPr>
        <w:t xml:space="preserve">existing networks of MPAs. </w:t>
      </w:r>
      <w:r>
        <w:rPr>
          <w:i/>
          <w:lang w:val="en-029"/>
        </w:rPr>
        <w:t>TNC will support the 8</w:t>
      </w:r>
      <w:r w:rsidRPr="00C60DF7">
        <w:rPr>
          <w:i/>
          <w:lang w:val="en-029"/>
        </w:rPr>
        <w:t xml:space="preserve"> countries currently part</w:t>
      </w:r>
      <w:r>
        <w:rPr>
          <w:i/>
          <w:lang w:val="en-029"/>
        </w:rPr>
        <w:t>icipating in</w:t>
      </w:r>
      <w:r w:rsidRPr="00C60DF7">
        <w:rPr>
          <w:i/>
          <w:lang w:val="en-029"/>
        </w:rPr>
        <w:t xml:space="preserve"> the </w:t>
      </w:r>
      <w:r>
        <w:rPr>
          <w:i/>
          <w:lang w:val="en-029"/>
        </w:rPr>
        <w:t xml:space="preserve">Caribbean Challenge Initiative </w:t>
      </w:r>
      <w:r w:rsidRPr="00C60DF7">
        <w:rPr>
          <w:i/>
          <w:lang w:val="en-029"/>
        </w:rPr>
        <w:t xml:space="preserve">to designate, conserve and improve management </w:t>
      </w:r>
      <w:r>
        <w:rPr>
          <w:i/>
          <w:lang w:val="en-029"/>
        </w:rPr>
        <w:t xml:space="preserve">of the full range </w:t>
      </w:r>
      <w:r w:rsidRPr="00C60DF7">
        <w:rPr>
          <w:i/>
          <w:lang w:val="en-029"/>
        </w:rPr>
        <w:t xml:space="preserve">of </w:t>
      </w:r>
      <w:r>
        <w:rPr>
          <w:i/>
          <w:lang w:val="en-029"/>
        </w:rPr>
        <w:t>legally designated</w:t>
      </w:r>
      <w:r w:rsidRPr="00C60DF7">
        <w:rPr>
          <w:i/>
          <w:lang w:val="en-029"/>
        </w:rPr>
        <w:t xml:space="preserve"> protected areas</w:t>
      </w:r>
      <w:r>
        <w:rPr>
          <w:i/>
          <w:lang w:val="en-029"/>
        </w:rPr>
        <w:t>, contributing to the fulfilment of targets under</w:t>
      </w:r>
      <w:r w:rsidRPr="00C60DF7">
        <w:rPr>
          <w:i/>
          <w:lang w:val="en-029"/>
        </w:rPr>
        <w:t xml:space="preserve"> the CBD Progr</w:t>
      </w:r>
      <w:r w:rsidR="009F4158">
        <w:rPr>
          <w:i/>
          <w:lang w:val="en-029"/>
        </w:rPr>
        <w:t>am of Work on Protected Areas.</w:t>
      </w:r>
      <w:r w:rsidRPr="00C60DF7">
        <w:rPr>
          <w:i/>
          <w:lang w:val="en-029"/>
        </w:rPr>
        <w:t xml:space="preserve"> </w:t>
      </w:r>
    </w:p>
    <w:p w:rsidR="0031078C" w:rsidRDefault="00507599" w:rsidP="00F91014">
      <w:pPr>
        <w:rPr>
          <w:i/>
          <w:lang w:val="en-029"/>
        </w:rPr>
      </w:pPr>
      <w:r>
        <w:rPr>
          <w:i/>
          <w:noProof/>
        </w:rPr>
        <w:drawing>
          <wp:inline distT="0" distB="0" distL="0" distR="0">
            <wp:extent cx="7766462" cy="3883231"/>
            <wp:effectExtent l="19050" t="0" r="5938" b="0"/>
            <wp:docPr id="2" name="Picture 1" descr="carib_challenge_regnl PA 3jun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b_challenge_regnl PA 3june11.jpg"/>
                    <pic:cNvPicPr/>
                  </pic:nvPicPr>
                  <pic:blipFill>
                    <a:blip r:embed="rId25" cstate="screen"/>
                    <a:stretch>
                      <a:fillRect/>
                    </a:stretch>
                  </pic:blipFill>
                  <pic:spPr>
                    <a:xfrm>
                      <a:off x="0" y="0"/>
                      <a:ext cx="7774229" cy="3887114"/>
                    </a:xfrm>
                    <a:prstGeom prst="rect">
                      <a:avLst/>
                    </a:prstGeom>
                  </pic:spPr>
                </pic:pic>
              </a:graphicData>
            </a:graphic>
          </wp:inline>
        </w:drawing>
      </w:r>
    </w:p>
    <w:p w:rsidR="00507599" w:rsidRDefault="00507599" w:rsidP="00F91014">
      <w:pPr>
        <w:rPr>
          <w:i/>
          <w:lang w:val="en-029"/>
        </w:rPr>
      </w:pPr>
    </w:p>
    <w:p w:rsidR="00507599" w:rsidRDefault="00507599" w:rsidP="00F91014">
      <w:pPr>
        <w:rPr>
          <w:i/>
          <w:lang w:val="en-029"/>
        </w:rPr>
      </w:pPr>
      <w:r w:rsidRPr="00507599">
        <w:rPr>
          <w:i/>
          <w:lang w:val="en-029"/>
        </w:rPr>
        <w:drawing>
          <wp:inline distT="0" distB="0" distL="0" distR="0">
            <wp:extent cx="2577501" cy="396815"/>
            <wp:effectExtent l="1905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77000" cy="1066800"/>
                      <a:chOff x="457200" y="304800"/>
                      <a:chExt cx="6477000" cy="1066800"/>
                    </a:xfrm>
                  </a:grpSpPr>
                  <a:grpSp>
                    <a:nvGrpSpPr>
                      <a:cNvPr id="8" name="Group 7"/>
                      <a:cNvGrpSpPr/>
                    </a:nvGrpSpPr>
                    <a:grpSpPr>
                      <a:xfrm>
                        <a:off x="457200" y="304800"/>
                        <a:ext cx="6477000" cy="1066800"/>
                        <a:chOff x="457200" y="304800"/>
                        <a:chExt cx="6477000" cy="1066800"/>
                      </a:xfrm>
                    </a:grpSpPr>
                    <a:sp>
                      <a:nvSpPr>
                        <a:cNvPr id="7" name="Rectangle 6"/>
                        <a:cNvSpPr/>
                      </a:nvSpPr>
                      <a:spPr>
                        <a:xfrm>
                          <a:off x="457200" y="304800"/>
                          <a:ext cx="6477000" cy="1066800"/>
                        </a:xfrm>
                        <a:prstGeom prst="rect">
                          <a:avLst/>
                        </a:prstGeom>
                        <a:solidFill>
                          <a:schemeClr val="bg2"/>
                        </a:solidFill>
                        <a:ln>
                          <a:no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Legend</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Hexagon 1"/>
                        <a:cNvSpPr/>
                      </a:nvSpPr>
                      <a:spPr>
                        <a:xfrm>
                          <a:off x="533400" y="746760"/>
                          <a:ext cx="1371600" cy="548640"/>
                        </a:xfrm>
                        <a:prstGeom prst="hexagon">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Strategy</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
                        <a:cNvSpPr/>
                      </a:nvSpPr>
                      <a:spPr>
                        <a:xfrm>
                          <a:off x="1981200" y="685800"/>
                          <a:ext cx="1600200" cy="612648"/>
                        </a:xfrm>
                        <a:prstGeom prst="rect">
                          <a:avLst/>
                        </a:prstGeom>
                        <a:solidFill>
                          <a:srgbClr val="A3E7FF"/>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Intermediate result</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3657600" y="685800"/>
                          <a:ext cx="1752600" cy="609600"/>
                        </a:xfrm>
                        <a:prstGeom prst="rect">
                          <a:avLst/>
                        </a:prstGeom>
                        <a:solidFill>
                          <a:schemeClr val="accent4">
                            <a:lumMod val="40000"/>
                            <a:lumOff val="6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Threat reduction result</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5486400" y="685800"/>
                          <a:ext cx="1371600" cy="609600"/>
                        </a:xfrm>
                        <a:prstGeom prst="ellipse">
                          <a:avLst/>
                        </a:prstGeom>
                        <a:solidFill>
                          <a:srgbClr val="C4E59F"/>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029" dirty="0" smtClean="0">
                                <a:solidFill>
                                  <a:sysClr val="windowText" lastClr="000000"/>
                                </a:solidFill>
                              </a:rPr>
                              <a:t>Target</a:t>
                            </a:r>
                            <a:endParaRPr lang="en-029"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507599" w:rsidRDefault="00507599" w:rsidP="00F91014">
      <w:pPr>
        <w:rPr>
          <w:i/>
          <w:lang w:val="en-029"/>
        </w:rPr>
      </w:pPr>
    </w:p>
    <w:p w:rsidR="00507599" w:rsidRDefault="00507599" w:rsidP="00F91014">
      <w:pPr>
        <w:rPr>
          <w:i/>
          <w:lang w:val="en-029"/>
        </w:rPr>
        <w:sectPr w:rsidR="00507599" w:rsidSect="00623931">
          <w:pgSz w:w="12240" w:h="15840"/>
          <w:pgMar w:top="1440" w:right="1440" w:bottom="1440" w:left="1440" w:header="720" w:footer="720" w:gutter="0"/>
          <w:cols w:space="720"/>
          <w:docGrid w:linePitch="360"/>
        </w:sectPr>
      </w:pPr>
    </w:p>
    <w:p w:rsidR="00507599" w:rsidRDefault="00507599" w:rsidP="00F91014">
      <w:pPr>
        <w:rPr>
          <w:i/>
          <w:lang w:val="en-029"/>
        </w:rPr>
      </w:pPr>
    </w:p>
    <w:p w:rsidR="0031078C" w:rsidRDefault="0031078C" w:rsidP="0031078C">
      <w:pPr>
        <w:pStyle w:val="Caption"/>
        <w:keepNext/>
      </w:pPr>
      <w:r>
        <w:t xml:space="preserve">Table </w:t>
      </w:r>
      <w:fldSimple w:instr=" SEQ Table \* ARABIC ">
        <w:r w:rsidR="00695062">
          <w:rPr>
            <w:noProof/>
          </w:rPr>
          <w:t>3</w:t>
        </w:r>
      </w:fldSimple>
      <w:r>
        <w:t xml:space="preserve">: National level objectives* for </w:t>
      </w:r>
      <w:r w:rsidR="00F9702A">
        <w:t xml:space="preserve">Caribbean Challenge Initiative </w:t>
      </w:r>
      <w:r>
        <w:t>MPA</w:t>
      </w:r>
      <w:r w:rsidRPr="00B7112D">
        <w:t xml:space="preserve"> </w:t>
      </w:r>
      <w:r>
        <w:t>Strategy</w:t>
      </w:r>
      <w:r w:rsidR="00623931">
        <w:t>. Note, this does not include the suite of biodiversity and threat status measures, and socio-economic measures to de developed in FY12.</w:t>
      </w:r>
    </w:p>
    <w:tbl>
      <w:tblPr>
        <w:tblStyle w:val="TableGrid"/>
        <w:tblW w:w="13248" w:type="dxa"/>
        <w:tblLayout w:type="fixed"/>
        <w:tblLook w:val="04A0"/>
      </w:tblPr>
      <w:tblGrid>
        <w:gridCol w:w="1998"/>
        <w:gridCol w:w="2790"/>
        <w:gridCol w:w="2966"/>
        <w:gridCol w:w="2794"/>
        <w:gridCol w:w="2700"/>
      </w:tblGrid>
      <w:tr w:rsidR="00967BA7" w:rsidRPr="00967BA7" w:rsidTr="00507599">
        <w:trPr>
          <w:trHeight w:val="675"/>
          <w:tblHeader/>
        </w:trPr>
        <w:tc>
          <w:tcPr>
            <w:tcW w:w="13248" w:type="dxa"/>
            <w:gridSpan w:val="5"/>
            <w:hideMark/>
          </w:tcPr>
          <w:p w:rsidR="00967BA7" w:rsidRPr="001C1667" w:rsidRDefault="00967BA7" w:rsidP="0031078C">
            <w:pPr>
              <w:rPr>
                <w:b/>
                <w:bCs/>
                <w:color w:val="002060"/>
              </w:rPr>
            </w:pPr>
            <w:r w:rsidRPr="001C1667">
              <w:rPr>
                <w:b/>
                <w:bCs/>
                <w:color w:val="002060"/>
              </w:rPr>
              <w:t>Caribbean Challenge Strategy: By 2020</w:t>
            </w:r>
            <w:r w:rsidR="00410440">
              <w:rPr>
                <w:b/>
                <w:bCs/>
                <w:color w:val="002060"/>
              </w:rPr>
              <w:t>,</w:t>
            </w:r>
            <w:r w:rsidRPr="001C1667">
              <w:rPr>
                <w:b/>
                <w:bCs/>
                <w:color w:val="002060"/>
              </w:rPr>
              <w:t xml:space="preserve"> </w:t>
            </w:r>
            <w:r w:rsidR="00410440">
              <w:rPr>
                <w:b/>
                <w:bCs/>
                <w:color w:val="002060"/>
              </w:rPr>
              <w:t xml:space="preserve">expand protected area </w:t>
            </w:r>
            <w:r w:rsidRPr="001C1667">
              <w:rPr>
                <w:b/>
                <w:bCs/>
                <w:color w:val="002060"/>
              </w:rPr>
              <w:t xml:space="preserve">coverage to at least 20 percent of </w:t>
            </w:r>
            <w:r w:rsidR="00747ABB">
              <w:rPr>
                <w:b/>
                <w:bCs/>
                <w:color w:val="002060"/>
              </w:rPr>
              <w:t xml:space="preserve">the </w:t>
            </w:r>
            <w:r w:rsidRPr="001C1667">
              <w:rPr>
                <w:b/>
                <w:bCs/>
                <w:color w:val="002060"/>
              </w:rPr>
              <w:t>nearshore</w:t>
            </w:r>
            <w:r w:rsidR="0031078C" w:rsidRPr="001C1667">
              <w:rPr>
                <w:b/>
                <w:bCs/>
                <w:color w:val="002060"/>
              </w:rPr>
              <w:t>**</w:t>
            </w:r>
            <w:r w:rsidRPr="001C1667">
              <w:rPr>
                <w:b/>
                <w:bCs/>
                <w:color w:val="002060"/>
              </w:rPr>
              <w:t xml:space="preserve"> </w:t>
            </w:r>
            <w:r w:rsidR="00747ABB">
              <w:rPr>
                <w:b/>
                <w:bCs/>
                <w:color w:val="002060"/>
              </w:rPr>
              <w:t xml:space="preserve">and </w:t>
            </w:r>
            <w:r w:rsidRPr="001C1667">
              <w:rPr>
                <w:b/>
                <w:bCs/>
                <w:color w:val="002060"/>
              </w:rPr>
              <w:t xml:space="preserve">marine </w:t>
            </w:r>
            <w:r w:rsidR="00747ABB">
              <w:rPr>
                <w:b/>
                <w:bCs/>
                <w:color w:val="002060"/>
              </w:rPr>
              <w:t>shelf habitats</w:t>
            </w:r>
            <w:r w:rsidR="00410440">
              <w:rPr>
                <w:b/>
                <w:bCs/>
                <w:color w:val="002060"/>
              </w:rPr>
              <w:t xml:space="preserve"> and</w:t>
            </w:r>
            <w:r w:rsidRPr="001C1667">
              <w:rPr>
                <w:b/>
                <w:bCs/>
                <w:color w:val="002060"/>
              </w:rPr>
              <w:t xml:space="preserve"> </w:t>
            </w:r>
            <w:r w:rsidR="00F40301">
              <w:rPr>
                <w:b/>
                <w:bCs/>
                <w:color w:val="002060"/>
              </w:rPr>
              <w:t>improve</w:t>
            </w:r>
            <w:r w:rsidR="00F40301" w:rsidRPr="001C1667">
              <w:rPr>
                <w:b/>
                <w:bCs/>
                <w:color w:val="002060"/>
              </w:rPr>
              <w:t xml:space="preserve"> management </w:t>
            </w:r>
            <w:r w:rsidR="00F40301">
              <w:rPr>
                <w:b/>
                <w:bCs/>
                <w:color w:val="002060"/>
              </w:rPr>
              <w:t>effectiveness of</w:t>
            </w:r>
            <w:r w:rsidR="00F40301" w:rsidRPr="001C1667">
              <w:rPr>
                <w:b/>
                <w:bCs/>
                <w:color w:val="002060"/>
              </w:rPr>
              <w:t xml:space="preserve"> </w:t>
            </w:r>
            <w:r w:rsidR="00F40301">
              <w:rPr>
                <w:b/>
                <w:bCs/>
                <w:color w:val="002060"/>
              </w:rPr>
              <w:t>p</w:t>
            </w:r>
            <w:r w:rsidR="00F40301" w:rsidRPr="001C1667">
              <w:rPr>
                <w:b/>
                <w:bCs/>
                <w:color w:val="002060"/>
              </w:rPr>
              <w:t xml:space="preserve">rotected </w:t>
            </w:r>
            <w:r w:rsidRPr="001C1667">
              <w:rPr>
                <w:b/>
                <w:bCs/>
                <w:color w:val="002060"/>
              </w:rPr>
              <w:t>areas.</w:t>
            </w:r>
          </w:p>
        </w:tc>
      </w:tr>
      <w:tr w:rsidR="001126D8" w:rsidRPr="00967BA7" w:rsidTr="00507599">
        <w:trPr>
          <w:trHeight w:val="645"/>
          <w:tblHeader/>
        </w:trPr>
        <w:tc>
          <w:tcPr>
            <w:tcW w:w="1998" w:type="dxa"/>
            <w:shd w:val="clear" w:color="auto" w:fill="B4ECFC" w:themeFill="text2" w:themeFillTint="33"/>
            <w:noWrap/>
            <w:hideMark/>
          </w:tcPr>
          <w:p w:rsidR="001126D8" w:rsidRPr="00967BA7" w:rsidRDefault="001126D8" w:rsidP="00967BA7">
            <w:pPr>
              <w:rPr>
                <w:b/>
                <w:bCs/>
              </w:rPr>
            </w:pPr>
            <w:r w:rsidRPr="00967BA7">
              <w:rPr>
                <w:b/>
                <w:bCs/>
              </w:rPr>
              <w:t xml:space="preserve">General </w:t>
            </w:r>
            <w:r>
              <w:rPr>
                <w:b/>
                <w:bCs/>
              </w:rPr>
              <w:t xml:space="preserve">National </w:t>
            </w:r>
            <w:r w:rsidRPr="00967BA7">
              <w:rPr>
                <w:b/>
                <w:bCs/>
              </w:rPr>
              <w:t>Objectives</w:t>
            </w:r>
          </w:p>
        </w:tc>
        <w:tc>
          <w:tcPr>
            <w:tcW w:w="2790" w:type="dxa"/>
            <w:hideMark/>
          </w:tcPr>
          <w:p w:rsidR="001126D8" w:rsidRPr="000C2124" w:rsidRDefault="001126D8" w:rsidP="00507599">
            <w:pPr>
              <w:rPr>
                <w:b/>
                <w:bCs/>
              </w:rPr>
            </w:pPr>
            <w:r w:rsidRPr="000C2124">
              <w:rPr>
                <w:b/>
                <w:bCs/>
              </w:rPr>
              <w:t>Jamaica Objective</w:t>
            </w:r>
            <w:r>
              <w:rPr>
                <w:b/>
                <w:bCs/>
              </w:rPr>
              <w:t>s</w:t>
            </w:r>
          </w:p>
        </w:tc>
        <w:tc>
          <w:tcPr>
            <w:tcW w:w="2966" w:type="dxa"/>
            <w:hideMark/>
          </w:tcPr>
          <w:p w:rsidR="001126D8" w:rsidRPr="000C2124" w:rsidRDefault="001126D8" w:rsidP="00507599">
            <w:pPr>
              <w:rPr>
                <w:b/>
                <w:bCs/>
              </w:rPr>
            </w:pPr>
            <w:r>
              <w:rPr>
                <w:b/>
                <w:bCs/>
              </w:rPr>
              <w:t>Dominican Republic</w:t>
            </w:r>
            <w:r w:rsidRPr="000C2124">
              <w:rPr>
                <w:b/>
                <w:bCs/>
              </w:rPr>
              <w:t xml:space="preserve"> Objective</w:t>
            </w:r>
            <w:r>
              <w:rPr>
                <w:b/>
                <w:bCs/>
              </w:rPr>
              <w:t>s</w:t>
            </w:r>
          </w:p>
        </w:tc>
        <w:tc>
          <w:tcPr>
            <w:tcW w:w="2794" w:type="dxa"/>
            <w:hideMark/>
          </w:tcPr>
          <w:p w:rsidR="001126D8" w:rsidRPr="000C2124" w:rsidRDefault="001126D8" w:rsidP="00507599">
            <w:pPr>
              <w:rPr>
                <w:b/>
                <w:bCs/>
              </w:rPr>
            </w:pPr>
            <w:r>
              <w:rPr>
                <w:b/>
                <w:bCs/>
              </w:rPr>
              <w:t>Eastern Caribbean (5 countries) Objectives</w:t>
            </w:r>
          </w:p>
        </w:tc>
        <w:tc>
          <w:tcPr>
            <w:tcW w:w="2700" w:type="dxa"/>
            <w:hideMark/>
          </w:tcPr>
          <w:p w:rsidR="001126D8" w:rsidRPr="000C2124" w:rsidRDefault="001126D8" w:rsidP="00507599">
            <w:pPr>
              <w:rPr>
                <w:b/>
                <w:bCs/>
              </w:rPr>
            </w:pPr>
            <w:r>
              <w:rPr>
                <w:b/>
                <w:bCs/>
              </w:rPr>
              <w:t>Bahamas</w:t>
            </w:r>
            <w:r w:rsidRPr="000C2124">
              <w:rPr>
                <w:b/>
                <w:bCs/>
              </w:rPr>
              <w:t xml:space="preserve"> Objective</w:t>
            </w:r>
            <w:r>
              <w:rPr>
                <w:b/>
                <w:bCs/>
              </w:rPr>
              <w:t>s</w:t>
            </w:r>
            <w:r w:rsidRPr="000C2124">
              <w:rPr>
                <w:b/>
                <w:bCs/>
              </w:rPr>
              <w:t xml:space="preserve"> </w:t>
            </w:r>
          </w:p>
        </w:tc>
      </w:tr>
      <w:tr w:rsidR="008F3F2E" w:rsidRPr="00967BA7" w:rsidTr="00507599">
        <w:trPr>
          <w:trHeight w:val="1695"/>
        </w:trPr>
        <w:tc>
          <w:tcPr>
            <w:tcW w:w="1998" w:type="dxa"/>
            <w:shd w:val="clear" w:color="auto" w:fill="B4ECFC" w:themeFill="text2" w:themeFillTint="33"/>
            <w:hideMark/>
          </w:tcPr>
          <w:p w:rsidR="00967BA7" w:rsidRPr="00967BA7" w:rsidRDefault="00967BA7">
            <w:pPr>
              <w:rPr>
                <w:b/>
                <w:bCs/>
              </w:rPr>
            </w:pPr>
            <w:r w:rsidRPr="00967BA7">
              <w:rPr>
                <w:b/>
                <w:bCs/>
              </w:rPr>
              <w:t>MPA coverage increased to 20% by 2020</w:t>
            </w:r>
          </w:p>
        </w:tc>
        <w:tc>
          <w:tcPr>
            <w:tcW w:w="2790" w:type="dxa"/>
            <w:hideMark/>
          </w:tcPr>
          <w:p w:rsidR="00967BA7" w:rsidRPr="00AE4638" w:rsidRDefault="006133B7">
            <w:pPr>
              <w:rPr>
                <w:sz w:val="20"/>
                <w:szCs w:val="20"/>
              </w:rPr>
            </w:pPr>
            <w:r w:rsidRPr="00AE4638">
              <w:rPr>
                <w:sz w:val="20"/>
                <w:szCs w:val="20"/>
              </w:rPr>
              <w:t>By 2012 (10%)</w:t>
            </w:r>
            <w:r>
              <w:rPr>
                <w:sz w:val="20"/>
                <w:szCs w:val="20"/>
              </w:rPr>
              <w:t>,</w:t>
            </w:r>
            <w:r w:rsidRPr="00AE4638">
              <w:rPr>
                <w:sz w:val="20"/>
                <w:szCs w:val="20"/>
              </w:rPr>
              <w:t xml:space="preserve"> %), 2015 (15%), </w:t>
            </w:r>
            <w:r>
              <w:rPr>
                <w:sz w:val="20"/>
                <w:szCs w:val="20"/>
              </w:rPr>
              <w:t xml:space="preserve">and </w:t>
            </w:r>
            <w:r w:rsidRPr="00AE4638">
              <w:rPr>
                <w:sz w:val="20"/>
                <w:szCs w:val="20"/>
              </w:rPr>
              <w:t xml:space="preserve">2020 (20%) of nearshore </w:t>
            </w:r>
            <w:r>
              <w:rPr>
                <w:sz w:val="20"/>
                <w:szCs w:val="20"/>
              </w:rPr>
              <w:t>and marine shelf</w:t>
            </w:r>
            <w:r w:rsidRPr="00AE4638">
              <w:rPr>
                <w:sz w:val="20"/>
                <w:szCs w:val="20"/>
              </w:rPr>
              <w:t xml:space="preserve"> habitat</w:t>
            </w:r>
            <w:r>
              <w:rPr>
                <w:sz w:val="20"/>
                <w:szCs w:val="20"/>
              </w:rPr>
              <w:t xml:space="preserve">s </w:t>
            </w:r>
            <w:r w:rsidRPr="00AE4638">
              <w:rPr>
                <w:sz w:val="20"/>
                <w:szCs w:val="20"/>
              </w:rPr>
              <w:t>under legal protection.</w:t>
            </w:r>
          </w:p>
        </w:tc>
        <w:tc>
          <w:tcPr>
            <w:tcW w:w="2966" w:type="dxa"/>
            <w:hideMark/>
          </w:tcPr>
          <w:p w:rsidR="00967BA7" w:rsidRPr="00AE4638" w:rsidRDefault="00967BA7">
            <w:pPr>
              <w:rPr>
                <w:sz w:val="20"/>
                <w:szCs w:val="20"/>
              </w:rPr>
            </w:pPr>
            <w:r w:rsidRPr="00AE4638">
              <w:rPr>
                <w:sz w:val="20"/>
                <w:szCs w:val="20"/>
              </w:rPr>
              <w:t> </w:t>
            </w:r>
            <w:r w:rsidR="002E3631">
              <w:rPr>
                <w:sz w:val="20"/>
                <w:szCs w:val="20"/>
              </w:rPr>
              <w:t>Note:</w:t>
            </w:r>
            <w:r w:rsidR="008F3F2E" w:rsidRPr="00AE4638">
              <w:rPr>
                <w:sz w:val="20"/>
                <w:szCs w:val="20"/>
              </w:rPr>
              <w:t xml:space="preserve"> </w:t>
            </w:r>
            <w:r w:rsidR="008F3F2E" w:rsidRPr="00AE4638">
              <w:rPr>
                <w:i/>
                <w:sz w:val="20"/>
                <w:szCs w:val="20"/>
              </w:rPr>
              <w:t>No expansion necessary since the 20% goal has already been achieved</w:t>
            </w:r>
          </w:p>
        </w:tc>
        <w:tc>
          <w:tcPr>
            <w:tcW w:w="2794" w:type="dxa"/>
            <w:hideMark/>
          </w:tcPr>
          <w:p w:rsidR="00967BA7" w:rsidRPr="00AE4638" w:rsidRDefault="006133B7">
            <w:pPr>
              <w:rPr>
                <w:sz w:val="20"/>
                <w:szCs w:val="20"/>
              </w:rPr>
            </w:pPr>
            <w:r>
              <w:rPr>
                <w:sz w:val="20"/>
                <w:szCs w:val="20"/>
              </w:rPr>
              <w:t>By 2015 (10%</w:t>
            </w:r>
            <w:r w:rsidRPr="00AE4638">
              <w:rPr>
                <w:sz w:val="20"/>
                <w:szCs w:val="20"/>
              </w:rPr>
              <w:t>)</w:t>
            </w:r>
            <w:r>
              <w:rPr>
                <w:sz w:val="20"/>
                <w:szCs w:val="20"/>
              </w:rPr>
              <w:t xml:space="preserve"> and </w:t>
            </w:r>
            <w:r w:rsidRPr="00AE4638">
              <w:rPr>
                <w:sz w:val="20"/>
                <w:szCs w:val="20"/>
              </w:rPr>
              <w:t xml:space="preserve">2020 (20%) of </w:t>
            </w:r>
            <w:r>
              <w:rPr>
                <w:sz w:val="20"/>
                <w:szCs w:val="20"/>
              </w:rPr>
              <w:t>-marine environment</w:t>
            </w:r>
            <w:r w:rsidRPr="00AE4638" w:rsidDel="00410440">
              <w:rPr>
                <w:sz w:val="20"/>
                <w:szCs w:val="20"/>
              </w:rPr>
              <w:t xml:space="preserve"> </w:t>
            </w:r>
            <w:r>
              <w:rPr>
                <w:sz w:val="20"/>
                <w:szCs w:val="20"/>
              </w:rPr>
              <w:t>and marine shelf</w:t>
            </w:r>
            <w:r w:rsidRPr="00AE4638">
              <w:rPr>
                <w:sz w:val="20"/>
                <w:szCs w:val="20"/>
              </w:rPr>
              <w:t xml:space="preserve"> habitat</w:t>
            </w:r>
            <w:r>
              <w:rPr>
                <w:sz w:val="20"/>
                <w:szCs w:val="20"/>
              </w:rPr>
              <w:t>s</w:t>
            </w:r>
            <w:r w:rsidRPr="00AE4638">
              <w:rPr>
                <w:sz w:val="20"/>
                <w:szCs w:val="20"/>
              </w:rPr>
              <w:t xml:space="preserve"> under legal protection.</w:t>
            </w:r>
          </w:p>
        </w:tc>
        <w:tc>
          <w:tcPr>
            <w:tcW w:w="2700" w:type="dxa"/>
            <w:hideMark/>
          </w:tcPr>
          <w:p w:rsidR="00967BA7" w:rsidRPr="00AE4638" w:rsidRDefault="00967BA7">
            <w:pPr>
              <w:rPr>
                <w:sz w:val="20"/>
                <w:szCs w:val="20"/>
              </w:rPr>
            </w:pPr>
            <w:r w:rsidRPr="00AE4638">
              <w:rPr>
                <w:sz w:val="20"/>
                <w:szCs w:val="20"/>
              </w:rPr>
              <w:t xml:space="preserve">By December 2015 (10%) and 2020 (20%) of </w:t>
            </w:r>
            <w:r w:rsidR="00410440">
              <w:rPr>
                <w:sz w:val="20"/>
                <w:szCs w:val="20"/>
              </w:rPr>
              <w:t>-marine environment</w:t>
            </w:r>
            <w:r w:rsidR="00410440" w:rsidRPr="00AE4638" w:rsidDel="00410440">
              <w:rPr>
                <w:sz w:val="20"/>
                <w:szCs w:val="20"/>
              </w:rPr>
              <w:t xml:space="preserve"> </w:t>
            </w:r>
            <w:r w:rsidR="00A650CC">
              <w:rPr>
                <w:sz w:val="20"/>
                <w:szCs w:val="20"/>
              </w:rPr>
              <w:t xml:space="preserve">and marine shelf </w:t>
            </w:r>
            <w:r w:rsidR="006133B7" w:rsidRPr="00AE4638">
              <w:rPr>
                <w:sz w:val="20"/>
                <w:szCs w:val="20"/>
              </w:rPr>
              <w:t>habitat</w:t>
            </w:r>
            <w:r w:rsidR="006133B7">
              <w:rPr>
                <w:sz w:val="20"/>
                <w:szCs w:val="20"/>
              </w:rPr>
              <w:t>s</w:t>
            </w:r>
            <w:r w:rsidR="006133B7" w:rsidRPr="00AE4638">
              <w:rPr>
                <w:sz w:val="20"/>
                <w:szCs w:val="20"/>
              </w:rPr>
              <w:t xml:space="preserve"> under</w:t>
            </w:r>
            <w:r w:rsidRPr="00AE4638">
              <w:rPr>
                <w:sz w:val="20"/>
                <w:szCs w:val="20"/>
              </w:rPr>
              <w:t xml:space="preserve"> legal protection.</w:t>
            </w:r>
            <w:r w:rsidR="00623931">
              <w:rPr>
                <w:sz w:val="20"/>
                <w:szCs w:val="20"/>
              </w:rPr>
              <w:t xml:space="preserve"> (Note: partners will be consulted to refine this objective in mid-2010)</w:t>
            </w:r>
          </w:p>
        </w:tc>
      </w:tr>
      <w:tr w:rsidR="008F3F2E" w:rsidRPr="00967BA7" w:rsidTr="00507599">
        <w:trPr>
          <w:trHeight w:val="2438"/>
        </w:trPr>
        <w:tc>
          <w:tcPr>
            <w:tcW w:w="1998" w:type="dxa"/>
            <w:shd w:val="clear" w:color="auto" w:fill="B4ECFC" w:themeFill="text2" w:themeFillTint="33"/>
            <w:hideMark/>
          </w:tcPr>
          <w:p w:rsidR="00967BA7" w:rsidRPr="00967BA7" w:rsidRDefault="00967BA7">
            <w:pPr>
              <w:rPr>
                <w:b/>
                <w:bCs/>
              </w:rPr>
            </w:pPr>
            <w:r w:rsidRPr="00967BA7">
              <w:rPr>
                <w:b/>
                <w:bCs/>
              </w:rPr>
              <w:t xml:space="preserve">Increased government funding for </w:t>
            </w:r>
            <w:r w:rsidR="006133B7">
              <w:rPr>
                <w:b/>
                <w:bCs/>
              </w:rPr>
              <w:t>p</w:t>
            </w:r>
            <w:r w:rsidR="006133B7" w:rsidRPr="00967BA7">
              <w:rPr>
                <w:b/>
                <w:bCs/>
              </w:rPr>
              <w:t>rotected</w:t>
            </w:r>
            <w:r w:rsidRPr="00967BA7">
              <w:rPr>
                <w:b/>
                <w:bCs/>
              </w:rPr>
              <w:t xml:space="preserve"> areas</w:t>
            </w:r>
          </w:p>
        </w:tc>
        <w:tc>
          <w:tcPr>
            <w:tcW w:w="2790" w:type="dxa"/>
            <w:hideMark/>
          </w:tcPr>
          <w:p w:rsidR="00967BA7" w:rsidRPr="00AE4638" w:rsidRDefault="00967BA7">
            <w:pPr>
              <w:rPr>
                <w:sz w:val="20"/>
                <w:szCs w:val="20"/>
              </w:rPr>
            </w:pPr>
            <w:r w:rsidRPr="00AE4638">
              <w:rPr>
                <w:sz w:val="20"/>
                <w:szCs w:val="20"/>
              </w:rPr>
              <w:t>By 2013, Government maintains current* expenditure levels on PAs</w:t>
            </w:r>
            <w:r w:rsidRPr="00AE4638">
              <w:rPr>
                <w:sz w:val="20"/>
                <w:szCs w:val="20"/>
              </w:rPr>
              <w:br/>
              <w:t>*2009 levels adjusted for inflation</w:t>
            </w:r>
          </w:p>
        </w:tc>
        <w:tc>
          <w:tcPr>
            <w:tcW w:w="2966" w:type="dxa"/>
            <w:hideMark/>
          </w:tcPr>
          <w:p w:rsidR="00967BA7" w:rsidRPr="00AE4638" w:rsidRDefault="006133B7">
            <w:pPr>
              <w:rPr>
                <w:sz w:val="20"/>
                <w:szCs w:val="20"/>
              </w:rPr>
            </w:pPr>
            <w:r w:rsidRPr="00AE4638">
              <w:rPr>
                <w:sz w:val="20"/>
                <w:szCs w:val="20"/>
              </w:rPr>
              <w:t xml:space="preserve">By 2012, government, partners, and other stakeholders increase level of investment in national system of protected areas by </w:t>
            </w:r>
            <w:r>
              <w:rPr>
                <w:sz w:val="20"/>
                <w:szCs w:val="20"/>
              </w:rPr>
              <w:t>the percentage</w:t>
            </w:r>
            <w:r w:rsidRPr="00AE4638">
              <w:rPr>
                <w:sz w:val="20"/>
                <w:szCs w:val="20"/>
              </w:rPr>
              <w:t xml:space="preserve"> recommend</w:t>
            </w:r>
            <w:r>
              <w:rPr>
                <w:sz w:val="20"/>
                <w:szCs w:val="20"/>
              </w:rPr>
              <w:t xml:space="preserve">ed in </w:t>
            </w:r>
            <w:r w:rsidRPr="00AE4638">
              <w:rPr>
                <w:sz w:val="20"/>
                <w:szCs w:val="20"/>
              </w:rPr>
              <w:t>the Master Plan</w:t>
            </w:r>
            <w:r>
              <w:rPr>
                <w:sz w:val="20"/>
                <w:szCs w:val="20"/>
              </w:rPr>
              <w:t>.</w:t>
            </w:r>
          </w:p>
        </w:tc>
        <w:tc>
          <w:tcPr>
            <w:tcW w:w="2794" w:type="dxa"/>
            <w:hideMark/>
          </w:tcPr>
          <w:p w:rsidR="00967BA7" w:rsidRPr="00AE4638" w:rsidRDefault="00967BA7">
            <w:pPr>
              <w:rPr>
                <w:sz w:val="20"/>
                <w:szCs w:val="20"/>
              </w:rPr>
            </w:pPr>
            <w:r w:rsidRPr="00AE4638">
              <w:rPr>
                <w:sz w:val="20"/>
                <w:szCs w:val="20"/>
              </w:rPr>
              <w:t>To be refined: By 2013 at least 2, and by 2015 at least 4, Governments are aligning their resources</w:t>
            </w:r>
            <w:r w:rsidR="008327D8">
              <w:rPr>
                <w:sz w:val="20"/>
                <w:szCs w:val="20"/>
              </w:rPr>
              <w:t xml:space="preserve"> </w:t>
            </w:r>
            <w:r w:rsidRPr="00AE4638">
              <w:rPr>
                <w:sz w:val="20"/>
                <w:szCs w:val="20"/>
              </w:rPr>
              <w:t xml:space="preserve">(beyond NPATF commitment) to implement key strategic actions (e.g. technical, policy, and institutional </w:t>
            </w:r>
            <w:r w:rsidR="00AE4638" w:rsidRPr="00AE4638">
              <w:rPr>
                <w:sz w:val="20"/>
                <w:szCs w:val="20"/>
              </w:rPr>
              <w:t>priorities</w:t>
            </w:r>
            <w:r w:rsidRPr="00AE4638">
              <w:rPr>
                <w:sz w:val="20"/>
                <w:szCs w:val="20"/>
              </w:rPr>
              <w:t>) from the master plan</w:t>
            </w:r>
          </w:p>
        </w:tc>
        <w:tc>
          <w:tcPr>
            <w:tcW w:w="2700" w:type="dxa"/>
            <w:hideMark/>
          </w:tcPr>
          <w:p w:rsidR="00967BA7" w:rsidRPr="00AE4638" w:rsidRDefault="00967BA7">
            <w:pPr>
              <w:rPr>
                <w:sz w:val="20"/>
                <w:szCs w:val="20"/>
              </w:rPr>
            </w:pPr>
            <w:r w:rsidRPr="00AE4638">
              <w:rPr>
                <w:sz w:val="20"/>
                <w:szCs w:val="20"/>
              </w:rPr>
              <w:t xml:space="preserve">By 2016, Bahamian government reduces the funding gap by $2 million, in addition to contribution of $2 million to CBF (doubling protected area resource contribution from 2008 levels) beyond BPAF to implement key strategic actions from the master plan.  </w:t>
            </w:r>
          </w:p>
        </w:tc>
      </w:tr>
      <w:tr w:rsidR="008F3F2E" w:rsidRPr="00967BA7" w:rsidTr="00507599">
        <w:trPr>
          <w:trHeight w:val="1845"/>
        </w:trPr>
        <w:tc>
          <w:tcPr>
            <w:tcW w:w="1998" w:type="dxa"/>
            <w:vMerge w:val="restart"/>
            <w:shd w:val="clear" w:color="auto" w:fill="B4ECFC" w:themeFill="text2" w:themeFillTint="33"/>
            <w:vAlign w:val="center"/>
            <w:hideMark/>
          </w:tcPr>
          <w:p w:rsidR="00967BA7" w:rsidRPr="00967BA7" w:rsidRDefault="00967BA7" w:rsidP="0031078C">
            <w:pPr>
              <w:jc w:val="center"/>
              <w:rPr>
                <w:b/>
                <w:bCs/>
              </w:rPr>
            </w:pPr>
            <w:r w:rsidRPr="00967BA7">
              <w:rPr>
                <w:b/>
                <w:bCs/>
              </w:rPr>
              <w:t>Improved coordination for PA management and projects</w:t>
            </w:r>
          </w:p>
        </w:tc>
        <w:tc>
          <w:tcPr>
            <w:tcW w:w="2790" w:type="dxa"/>
            <w:tcBorders>
              <w:bottom w:val="single" w:sz="4" w:space="0" w:color="auto"/>
            </w:tcBorders>
            <w:hideMark/>
          </w:tcPr>
          <w:p w:rsidR="00967BA7" w:rsidRPr="00AE4638" w:rsidRDefault="006133B7">
            <w:pPr>
              <w:rPr>
                <w:sz w:val="20"/>
                <w:szCs w:val="20"/>
              </w:rPr>
            </w:pPr>
            <w:r w:rsidRPr="00AE4638">
              <w:rPr>
                <w:sz w:val="20"/>
                <w:szCs w:val="20"/>
              </w:rPr>
              <w:t>By 2012</w:t>
            </w:r>
            <w:r>
              <w:rPr>
                <w:sz w:val="20"/>
                <w:szCs w:val="20"/>
              </w:rPr>
              <w:t>,</w:t>
            </w:r>
            <w:r w:rsidRPr="00AE4638">
              <w:rPr>
                <w:sz w:val="20"/>
                <w:szCs w:val="20"/>
              </w:rPr>
              <w:t xml:space="preserve"> as part of PASMP</w:t>
            </w:r>
            <w:r>
              <w:rPr>
                <w:sz w:val="20"/>
                <w:szCs w:val="20"/>
              </w:rPr>
              <w:t xml:space="preserve">, </w:t>
            </w:r>
            <w:r w:rsidRPr="00AE4638">
              <w:rPr>
                <w:sz w:val="20"/>
                <w:szCs w:val="20"/>
              </w:rPr>
              <w:t xml:space="preserve">a functional coordination mechanism </w:t>
            </w:r>
            <w:r>
              <w:rPr>
                <w:sz w:val="20"/>
                <w:szCs w:val="20"/>
              </w:rPr>
              <w:t>involving</w:t>
            </w:r>
            <w:r w:rsidRPr="00AE4638">
              <w:rPr>
                <w:sz w:val="20"/>
                <w:szCs w:val="20"/>
              </w:rPr>
              <w:t xml:space="preserve"> relevant stakeholders is in place for large projects.</w:t>
            </w:r>
          </w:p>
        </w:tc>
        <w:tc>
          <w:tcPr>
            <w:tcW w:w="2966" w:type="dxa"/>
            <w:tcBorders>
              <w:bottom w:val="single" w:sz="4" w:space="0" w:color="auto"/>
            </w:tcBorders>
            <w:hideMark/>
          </w:tcPr>
          <w:p w:rsidR="00967BA7" w:rsidRPr="00AE4638" w:rsidRDefault="00967BA7">
            <w:pPr>
              <w:rPr>
                <w:sz w:val="20"/>
                <w:szCs w:val="20"/>
              </w:rPr>
            </w:pPr>
            <w:r w:rsidRPr="00AE4638">
              <w:rPr>
                <w:sz w:val="20"/>
                <w:szCs w:val="20"/>
              </w:rPr>
              <w:t xml:space="preserve">By 2012, functional coordination mechanism </w:t>
            </w:r>
            <w:r w:rsidR="00403806">
              <w:rPr>
                <w:sz w:val="20"/>
                <w:szCs w:val="20"/>
              </w:rPr>
              <w:t>involving</w:t>
            </w:r>
            <w:r w:rsidR="00403806" w:rsidRPr="00AE4638">
              <w:rPr>
                <w:sz w:val="20"/>
                <w:szCs w:val="20"/>
              </w:rPr>
              <w:t xml:space="preserve"> </w:t>
            </w:r>
            <w:r w:rsidR="00F40301">
              <w:rPr>
                <w:sz w:val="20"/>
                <w:szCs w:val="20"/>
              </w:rPr>
              <w:t xml:space="preserve"> </w:t>
            </w:r>
            <w:r w:rsidRPr="00AE4638">
              <w:rPr>
                <w:sz w:val="20"/>
                <w:szCs w:val="20"/>
              </w:rPr>
              <w:t>relevant stakeholders in place for large projects implemented under PA master plan</w:t>
            </w:r>
          </w:p>
        </w:tc>
        <w:tc>
          <w:tcPr>
            <w:tcW w:w="2794" w:type="dxa"/>
            <w:hideMark/>
          </w:tcPr>
          <w:p w:rsidR="00967BA7" w:rsidRPr="00AE4638" w:rsidRDefault="00967BA7">
            <w:pPr>
              <w:rPr>
                <w:sz w:val="20"/>
                <w:szCs w:val="20"/>
              </w:rPr>
            </w:pPr>
            <w:r w:rsidRPr="00AE4638">
              <w:rPr>
                <w:sz w:val="20"/>
                <w:szCs w:val="20"/>
              </w:rPr>
              <w:t xml:space="preserve">By 2013 functional government coordination mechanism (like NISP) </w:t>
            </w:r>
            <w:r w:rsidR="00403806">
              <w:rPr>
                <w:sz w:val="20"/>
                <w:szCs w:val="20"/>
              </w:rPr>
              <w:t>involving</w:t>
            </w:r>
            <w:r w:rsidR="00F40301">
              <w:rPr>
                <w:sz w:val="20"/>
                <w:szCs w:val="20"/>
              </w:rPr>
              <w:t xml:space="preserve"> </w:t>
            </w:r>
            <w:r w:rsidRPr="00AE4638">
              <w:rPr>
                <w:sz w:val="20"/>
                <w:szCs w:val="20"/>
              </w:rPr>
              <w:t xml:space="preserve"> relevant stakeholders in place for large projects implemented under PA master plan, and GEF projects</w:t>
            </w:r>
          </w:p>
        </w:tc>
        <w:tc>
          <w:tcPr>
            <w:tcW w:w="2700" w:type="dxa"/>
            <w:tcBorders>
              <w:bottom w:val="single" w:sz="4" w:space="0" w:color="auto"/>
            </w:tcBorders>
            <w:shd w:val="clear" w:color="auto" w:fill="D9D9D9" w:themeFill="background1" w:themeFillShade="D9"/>
            <w:hideMark/>
          </w:tcPr>
          <w:p w:rsidR="00967BA7" w:rsidRPr="00AE4638" w:rsidRDefault="00967BA7" w:rsidP="00A81C63">
            <w:pPr>
              <w:rPr>
                <w:sz w:val="20"/>
                <w:szCs w:val="20"/>
              </w:rPr>
            </w:pPr>
          </w:p>
        </w:tc>
      </w:tr>
      <w:tr w:rsidR="00201454" w:rsidRPr="00967BA7" w:rsidTr="00507599">
        <w:trPr>
          <w:trHeight w:val="1430"/>
        </w:trPr>
        <w:tc>
          <w:tcPr>
            <w:tcW w:w="1998" w:type="dxa"/>
            <w:vMerge/>
            <w:tcBorders>
              <w:right w:val="single" w:sz="4" w:space="0" w:color="auto"/>
            </w:tcBorders>
            <w:shd w:val="clear" w:color="auto" w:fill="B4ECFC" w:themeFill="text2" w:themeFillTint="33"/>
            <w:hideMark/>
          </w:tcPr>
          <w:p w:rsidR="00967BA7" w:rsidRPr="00967BA7" w:rsidRDefault="00967BA7">
            <w:pPr>
              <w:rPr>
                <w:b/>
                <w:bCs/>
              </w:rPr>
            </w:pPr>
          </w:p>
        </w:tc>
        <w:tc>
          <w:tcPr>
            <w:tcW w:w="2790" w:type="dxa"/>
            <w:tcBorders>
              <w:top w:val="single" w:sz="4" w:space="0" w:color="auto"/>
              <w:left w:val="single" w:sz="4" w:space="0" w:color="auto"/>
              <w:bottom w:val="single" w:sz="4" w:space="0" w:color="auto"/>
              <w:right w:val="nil"/>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966" w:type="dxa"/>
            <w:tcBorders>
              <w:top w:val="single" w:sz="4" w:space="0" w:color="auto"/>
              <w:left w:val="nil"/>
              <w:bottom w:val="single" w:sz="4" w:space="0" w:color="auto"/>
              <w:right w:val="single" w:sz="4" w:space="0" w:color="auto"/>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794" w:type="dxa"/>
            <w:tcBorders>
              <w:left w:val="single" w:sz="4" w:space="0" w:color="auto"/>
              <w:right w:val="single" w:sz="4" w:space="0" w:color="auto"/>
            </w:tcBorders>
            <w:hideMark/>
          </w:tcPr>
          <w:p w:rsidR="00967BA7" w:rsidRPr="00AE4638" w:rsidRDefault="00967BA7">
            <w:pPr>
              <w:rPr>
                <w:sz w:val="20"/>
                <w:szCs w:val="20"/>
              </w:rPr>
            </w:pPr>
            <w:r w:rsidRPr="00AE4638">
              <w:rPr>
                <w:sz w:val="20"/>
                <w:szCs w:val="20"/>
              </w:rPr>
              <w:t>By 2012</w:t>
            </w:r>
            <w:r w:rsidR="00403806">
              <w:rPr>
                <w:sz w:val="20"/>
                <w:szCs w:val="20"/>
              </w:rPr>
              <w:t>,</w:t>
            </w:r>
            <w:r w:rsidRPr="00AE4638">
              <w:rPr>
                <w:sz w:val="20"/>
                <w:szCs w:val="20"/>
              </w:rPr>
              <w:t xml:space="preserve"> a functional regional coordination mechanism (information sharing, technical activities) to ensure a resilient MPA network for the CC in Eastern Caribbean is in place. </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BA7" w:rsidRPr="00AE4638" w:rsidRDefault="00967BA7">
            <w:pPr>
              <w:rPr>
                <w:sz w:val="20"/>
                <w:szCs w:val="20"/>
              </w:rPr>
            </w:pPr>
            <w:r w:rsidRPr="00AE4638">
              <w:rPr>
                <w:sz w:val="20"/>
                <w:szCs w:val="20"/>
              </w:rPr>
              <w:t> </w:t>
            </w:r>
          </w:p>
        </w:tc>
      </w:tr>
      <w:tr w:rsidR="00201454" w:rsidRPr="00967BA7" w:rsidTr="00507599">
        <w:trPr>
          <w:trHeight w:val="2190"/>
        </w:trPr>
        <w:tc>
          <w:tcPr>
            <w:tcW w:w="1998" w:type="dxa"/>
            <w:vMerge/>
            <w:tcBorders>
              <w:right w:val="single" w:sz="4" w:space="0" w:color="auto"/>
            </w:tcBorders>
            <w:shd w:val="clear" w:color="auto" w:fill="B4ECFC" w:themeFill="text2" w:themeFillTint="33"/>
            <w:hideMark/>
          </w:tcPr>
          <w:p w:rsidR="00967BA7" w:rsidRPr="00967BA7" w:rsidRDefault="00967BA7">
            <w:pPr>
              <w:rPr>
                <w:b/>
                <w:bCs/>
              </w:rPr>
            </w:pPr>
          </w:p>
        </w:tc>
        <w:tc>
          <w:tcPr>
            <w:tcW w:w="2790" w:type="dxa"/>
            <w:tcBorders>
              <w:top w:val="single" w:sz="4" w:space="0" w:color="auto"/>
              <w:left w:val="single" w:sz="4" w:space="0" w:color="auto"/>
              <w:bottom w:val="single" w:sz="4" w:space="0" w:color="auto"/>
              <w:right w:val="nil"/>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966" w:type="dxa"/>
            <w:tcBorders>
              <w:top w:val="single" w:sz="4" w:space="0" w:color="auto"/>
              <w:left w:val="nil"/>
              <w:bottom w:val="single" w:sz="4" w:space="0" w:color="auto"/>
              <w:right w:val="single" w:sz="4" w:space="0" w:color="auto"/>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794" w:type="dxa"/>
            <w:tcBorders>
              <w:left w:val="single" w:sz="4" w:space="0" w:color="auto"/>
              <w:right w:val="single" w:sz="4" w:space="0" w:color="auto"/>
            </w:tcBorders>
            <w:hideMark/>
          </w:tcPr>
          <w:p w:rsidR="00967BA7" w:rsidRPr="00AE4638" w:rsidRDefault="00967BA7">
            <w:pPr>
              <w:rPr>
                <w:sz w:val="20"/>
                <w:szCs w:val="20"/>
              </w:rPr>
            </w:pPr>
            <w:r w:rsidRPr="00AE4638">
              <w:rPr>
                <w:sz w:val="20"/>
                <w:szCs w:val="20"/>
              </w:rPr>
              <w:t>By 2015 three, and by 2017, five, National  Master Plans are coordinated with and leveraging other national, regional and international environmental and development plans and strategies</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BA7" w:rsidRPr="00AE4638" w:rsidRDefault="00967BA7">
            <w:pPr>
              <w:rPr>
                <w:sz w:val="20"/>
                <w:szCs w:val="20"/>
              </w:rPr>
            </w:pPr>
            <w:r w:rsidRPr="00AE4638">
              <w:rPr>
                <w:sz w:val="20"/>
                <w:szCs w:val="20"/>
              </w:rPr>
              <w:t> </w:t>
            </w:r>
          </w:p>
        </w:tc>
      </w:tr>
      <w:tr w:rsidR="008F3F2E" w:rsidRPr="00967BA7" w:rsidTr="00507599">
        <w:trPr>
          <w:trHeight w:val="2100"/>
        </w:trPr>
        <w:tc>
          <w:tcPr>
            <w:tcW w:w="1998" w:type="dxa"/>
            <w:vMerge w:val="restart"/>
            <w:shd w:val="clear" w:color="auto" w:fill="B4ECFC" w:themeFill="text2" w:themeFillTint="33"/>
            <w:hideMark/>
          </w:tcPr>
          <w:p w:rsidR="00967BA7" w:rsidRPr="00967BA7" w:rsidRDefault="00967BA7">
            <w:pPr>
              <w:rPr>
                <w:b/>
                <w:bCs/>
              </w:rPr>
            </w:pPr>
            <w:r w:rsidRPr="00967BA7">
              <w:rPr>
                <w:b/>
                <w:bCs/>
              </w:rPr>
              <w:t>Improved management effectiveness of Protected Areas</w:t>
            </w:r>
          </w:p>
        </w:tc>
        <w:tc>
          <w:tcPr>
            <w:tcW w:w="2790" w:type="dxa"/>
            <w:tcBorders>
              <w:top w:val="single" w:sz="4" w:space="0" w:color="auto"/>
            </w:tcBorders>
            <w:hideMark/>
          </w:tcPr>
          <w:p w:rsidR="00967BA7" w:rsidRPr="00AE4638" w:rsidRDefault="00967BA7">
            <w:pPr>
              <w:rPr>
                <w:sz w:val="20"/>
                <w:szCs w:val="20"/>
              </w:rPr>
            </w:pPr>
            <w:r w:rsidRPr="00AE4638">
              <w:rPr>
                <w:sz w:val="20"/>
                <w:szCs w:val="20"/>
              </w:rPr>
              <w:t xml:space="preserve">Management effectiveness (measured by RAPPAM scores for system level and by METT for coastal and marine PAs) for Jamaica improved to minimum threshold by 2020. </w:t>
            </w:r>
          </w:p>
        </w:tc>
        <w:tc>
          <w:tcPr>
            <w:tcW w:w="2966" w:type="dxa"/>
            <w:tcBorders>
              <w:top w:val="single" w:sz="4" w:space="0" w:color="auto"/>
              <w:bottom w:val="single" w:sz="4" w:space="0" w:color="auto"/>
            </w:tcBorders>
            <w:hideMark/>
          </w:tcPr>
          <w:p w:rsidR="00967BA7" w:rsidRPr="00AE4638" w:rsidRDefault="00967BA7">
            <w:pPr>
              <w:rPr>
                <w:sz w:val="20"/>
                <w:szCs w:val="20"/>
              </w:rPr>
            </w:pPr>
            <w:r w:rsidRPr="00AE4638">
              <w:rPr>
                <w:sz w:val="20"/>
                <w:szCs w:val="20"/>
              </w:rPr>
              <w:t xml:space="preserve">Management effectiveness (measured by RAPPAM scores for system level and by METT particularly for sites TNC is interested </w:t>
            </w:r>
            <w:r w:rsidR="006133B7" w:rsidRPr="00AE4638">
              <w:rPr>
                <w:sz w:val="20"/>
                <w:szCs w:val="20"/>
              </w:rPr>
              <w:t>in)</w:t>
            </w:r>
            <w:r w:rsidRPr="00AE4638">
              <w:rPr>
                <w:sz w:val="20"/>
                <w:szCs w:val="20"/>
              </w:rPr>
              <w:t xml:space="preserve"> for Dominican Republic to improve to minimum threshold by 2020. </w:t>
            </w:r>
          </w:p>
        </w:tc>
        <w:tc>
          <w:tcPr>
            <w:tcW w:w="2794" w:type="dxa"/>
            <w:tcBorders>
              <w:bottom w:val="single" w:sz="4" w:space="0" w:color="auto"/>
            </w:tcBorders>
            <w:hideMark/>
          </w:tcPr>
          <w:p w:rsidR="00967BA7" w:rsidRPr="00AE4638" w:rsidRDefault="00967BA7">
            <w:pPr>
              <w:rPr>
                <w:sz w:val="20"/>
                <w:szCs w:val="20"/>
              </w:rPr>
            </w:pPr>
            <w:r w:rsidRPr="00AE4638">
              <w:rPr>
                <w:sz w:val="20"/>
                <w:szCs w:val="20"/>
              </w:rPr>
              <w:t>Management effectiveness (measured by RAPPAM/METT scores) for 5 countries improved to minimum threshold by the country coordination body (</w:t>
            </w:r>
            <w:r w:rsidR="00201454" w:rsidRPr="00AE4638">
              <w:rPr>
                <w:sz w:val="20"/>
                <w:szCs w:val="20"/>
              </w:rPr>
              <w:t>e.g.</w:t>
            </w:r>
            <w:r w:rsidRPr="00AE4638">
              <w:rPr>
                <w:sz w:val="20"/>
                <w:szCs w:val="20"/>
              </w:rPr>
              <w:t xml:space="preserve"> NISP) by 2020</w:t>
            </w:r>
          </w:p>
        </w:tc>
        <w:tc>
          <w:tcPr>
            <w:tcW w:w="2700" w:type="dxa"/>
            <w:tcBorders>
              <w:top w:val="single" w:sz="4" w:space="0" w:color="auto"/>
              <w:bottom w:val="single" w:sz="4" w:space="0" w:color="auto"/>
            </w:tcBorders>
            <w:hideMark/>
          </w:tcPr>
          <w:p w:rsidR="00C61CC0" w:rsidRDefault="00C61CC0">
            <w:pPr>
              <w:rPr>
                <w:b/>
                <w:bCs/>
                <w:i/>
                <w:iCs/>
                <w:sz w:val="20"/>
                <w:szCs w:val="20"/>
              </w:rPr>
            </w:pPr>
            <w:r>
              <w:rPr>
                <w:b/>
                <w:bCs/>
                <w:i/>
                <w:iCs/>
                <w:sz w:val="20"/>
                <w:szCs w:val="20"/>
              </w:rPr>
              <w:t>A</w:t>
            </w:r>
            <w:r w:rsidRPr="00C61CC0">
              <w:rPr>
                <w:b/>
                <w:bCs/>
                <w:i/>
                <w:iCs/>
                <w:sz w:val="20"/>
                <w:szCs w:val="20"/>
              </w:rPr>
              <w:t xml:space="preserve"> minimum of 50% of existing marine and 50% of existing terrestrial national parks and protected areas being effectively managed </w:t>
            </w:r>
            <w:r w:rsidRPr="00AE4638">
              <w:rPr>
                <w:sz w:val="20"/>
                <w:szCs w:val="20"/>
              </w:rPr>
              <w:t>(</w:t>
            </w:r>
            <w:r>
              <w:rPr>
                <w:sz w:val="20"/>
                <w:szCs w:val="20"/>
              </w:rPr>
              <w:t xml:space="preserve">as </w:t>
            </w:r>
            <w:r w:rsidRPr="00AE4638">
              <w:rPr>
                <w:sz w:val="20"/>
                <w:szCs w:val="20"/>
              </w:rPr>
              <w:t xml:space="preserve">measured by RAPPAM/METT scores) </w:t>
            </w:r>
            <w:r w:rsidRPr="00C61CC0">
              <w:rPr>
                <w:b/>
                <w:i/>
                <w:sz w:val="20"/>
              </w:rPr>
              <w:t>by 2020</w:t>
            </w:r>
            <w:r>
              <w:rPr>
                <w:b/>
                <w:bCs/>
                <w:i/>
                <w:iCs/>
                <w:sz w:val="20"/>
                <w:szCs w:val="20"/>
              </w:rPr>
              <w:t xml:space="preserve">. </w:t>
            </w:r>
          </w:p>
          <w:p w:rsidR="00C61CC0" w:rsidRPr="00AE4638" w:rsidRDefault="00C61CC0" w:rsidP="00C61CC0">
            <w:pPr>
              <w:rPr>
                <w:sz w:val="20"/>
                <w:szCs w:val="20"/>
              </w:rPr>
            </w:pPr>
          </w:p>
        </w:tc>
      </w:tr>
      <w:tr w:rsidR="008F3F2E" w:rsidRPr="00967BA7" w:rsidTr="00507599">
        <w:trPr>
          <w:trHeight w:val="615"/>
        </w:trPr>
        <w:tc>
          <w:tcPr>
            <w:tcW w:w="1998" w:type="dxa"/>
            <w:vMerge/>
            <w:shd w:val="clear" w:color="auto" w:fill="B4ECFC" w:themeFill="text2" w:themeFillTint="33"/>
            <w:hideMark/>
          </w:tcPr>
          <w:p w:rsidR="00967BA7" w:rsidRPr="00967BA7" w:rsidRDefault="00967BA7">
            <w:pPr>
              <w:rPr>
                <w:b/>
                <w:bCs/>
              </w:rPr>
            </w:pPr>
          </w:p>
        </w:tc>
        <w:tc>
          <w:tcPr>
            <w:tcW w:w="2790" w:type="dxa"/>
            <w:tcBorders>
              <w:right w:val="single" w:sz="4" w:space="0" w:color="auto"/>
            </w:tcBorders>
            <w:hideMark/>
          </w:tcPr>
          <w:p w:rsidR="00967BA7" w:rsidRPr="00AE4638" w:rsidRDefault="00967BA7">
            <w:pPr>
              <w:rPr>
                <w:sz w:val="20"/>
                <w:szCs w:val="20"/>
              </w:rPr>
            </w:pPr>
            <w:r w:rsidRPr="00AE4638">
              <w:rPr>
                <w:sz w:val="20"/>
                <w:szCs w:val="20"/>
              </w:rPr>
              <w:t>By 2020, MPA management capacity improved</w:t>
            </w:r>
          </w:p>
        </w:tc>
        <w:tc>
          <w:tcPr>
            <w:tcW w:w="2966" w:type="dxa"/>
            <w:tcBorders>
              <w:top w:val="single" w:sz="4" w:space="0" w:color="auto"/>
              <w:left w:val="single" w:sz="4" w:space="0" w:color="auto"/>
              <w:bottom w:val="single" w:sz="4" w:space="0" w:color="auto"/>
              <w:right w:val="nil"/>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794" w:type="dxa"/>
            <w:tcBorders>
              <w:top w:val="single" w:sz="4" w:space="0" w:color="auto"/>
              <w:left w:val="nil"/>
              <w:bottom w:val="single" w:sz="4" w:space="0" w:color="auto"/>
              <w:right w:val="nil"/>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700" w:type="dxa"/>
            <w:tcBorders>
              <w:top w:val="single" w:sz="4" w:space="0" w:color="auto"/>
              <w:left w:val="nil"/>
              <w:bottom w:val="single" w:sz="4" w:space="0" w:color="auto"/>
              <w:right w:val="single" w:sz="4" w:space="0" w:color="auto"/>
            </w:tcBorders>
            <w:shd w:val="clear" w:color="auto" w:fill="D9D9D9" w:themeFill="background1" w:themeFillShade="D9"/>
            <w:hideMark/>
          </w:tcPr>
          <w:p w:rsidR="00967BA7" w:rsidRPr="00AE4638" w:rsidRDefault="00967BA7">
            <w:pPr>
              <w:rPr>
                <w:sz w:val="20"/>
                <w:szCs w:val="20"/>
              </w:rPr>
            </w:pPr>
            <w:r w:rsidRPr="00AE4638">
              <w:rPr>
                <w:sz w:val="20"/>
                <w:szCs w:val="20"/>
              </w:rPr>
              <w:t> </w:t>
            </w:r>
          </w:p>
        </w:tc>
      </w:tr>
      <w:tr w:rsidR="008F3F2E" w:rsidRPr="00967BA7" w:rsidTr="00507599">
        <w:trPr>
          <w:trHeight w:val="2220"/>
        </w:trPr>
        <w:tc>
          <w:tcPr>
            <w:tcW w:w="1998" w:type="dxa"/>
            <w:vMerge w:val="restart"/>
            <w:shd w:val="clear" w:color="auto" w:fill="B4ECFC" w:themeFill="text2" w:themeFillTint="33"/>
            <w:hideMark/>
          </w:tcPr>
          <w:p w:rsidR="00967BA7" w:rsidRPr="00967BA7" w:rsidRDefault="006133B7">
            <w:pPr>
              <w:rPr>
                <w:b/>
                <w:bCs/>
              </w:rPr>
            </w:pPr>
            <w:r w:rsidRPr="00967BA7">
              <w:rPr>
                <w:b/>
                <w:bCs/>
              </w:rPr>
              <w:lastRenderedPageBreak/>
              <w:t xml:space="preserve">Socio-economic </w:t>
            </w:r>
            <w:r>
              <w:rPr>
                <w:b/>
                <w:bCs/>
              </w:rPr>
              <w:t>values and benefits</w:t>
            </w:r>
            <w:r w:rsidRPr="00967BA7">
              <w:rPr>
                <w:b/>
                <w:bCs/>
              </w:rPr>
              <w:t xml:space="preserve"> of MPA</w:t>
            </w:r>
            <w:r>
              <w:rPr>
                <w:b/>
                <w:bCs/>
              </w:rPr>
              <w:t>s</w:t>
            </w:r>
            <w:r w:rsidRPr="00967BA7">
              <w:rPr>
                <w:b/>
                <w:bCs/>
              </w:rPr>
              <w:t xml:space="preserve"> </w:t>
            </w:r>
            <w:r>
              <w:rPr>
                <w:b/>
                <w:bCs/>
              </w:rPr>
              <w:t>documented.</w:t>
            </w:r>
          </w:p>
        </w:tc>
        <w:tc>
          <w:tcPr>
            <w:tcW w:w="2790" w:type="dxa"/>
            <w:hideMark/>
          </w:tcPr>
          <w:p w:rsidR="00967BA7" w:rsidRPr="00AE4638" w:rsidRDefault="00967BA7">
            <w:pPr>
              <w:rPr>
                <w:sz w:val="20"/>
                <w:szCs w:val="20"/>
              </w:rPr>
            </w:pPr>
            <w:r w:rsidRPr="00AE4638">
              <w:rPr>
                <w:sz w:val="20"/>
                <w:szCs w:val="20"/>
              </w:rPr>
              <w:t xml:space="preserve">By 2015, determine the socio-economic values of selected MPAs and incorporate into </w:t>
            </w:r>
            <w:r w:rsidR="00A947F2">
              <w:rPr>
                <w:sz w:val="20"/>
                <w:szCs w:val="20"/>
              </w:rPr>
              <w:t xml:space="preserve">national </w:t>
            </w:r>
            <w:commentRangeStart w:id="16"/>
            <w:commentRangeStart w:id="17"/>
            <w:r w:rsidR="00A947F2">
              <w:rPr>
                <w:sz w:val="20"/>
                <w:szCs w:val="20"/>
              </w:rPr>
              <w:t>strategies</w:t>
            </w:r>
            <w:commentRangeEnd w:id="16"/>
            <w:r w:rsidR="000608D2">
              <w:rPr>
                <w:rStyle w:val="CommentReference"/>
              </w:rPr>
              <w:commentReference w:id="16"/>
            </w:r>
            <w:commentRangeEnd w:id="17"/>
            <w:r w:rsidR="009F4158">
              <w:rPr>
                <w:rStyle w:val="CommentReference"/>
              </w:rPr>
              <w:commentReference w:id="17"/>
            </w:r>
            <w:r w:rsidR="00A947F2">
              <w:rPr>
                <w:sz w:val="20"/>
                <w:szCs w:val="20"/>
              </w:rPr>
              <w:t xml:space="preserve"> and </w:t>
            </w:r>
            <w:r w:rsidRPr="00AE4638">
              <w:rPr>
                <w:sz w:val="20"/>
                <w:szCs w:val="20"/>
              </w:rPr>
              <w:t>site management plans.</w:t>
            </w:r>
          </w:p>
        </w:tc>
        <w:tc>
          <w:tcPr>
            <w:tcW w:w="2966" w:type="dxa"/>
            <w:tcBorders>
              <w:top w:val="single" w:sz="4" w:space="0" w:color="auto"/>
            </w:tcBorders>
            <w:hideMark/>
          </w:tcPr>
          <w:p w:rsidR="00967BA7" w:rsidRPr="00AE4638" w:rsidRDefault="00967BA7">
            <w:pPr>
              <w:rPr>
                <w:sz w:val="20"/>
                <w:szCs w:val="20"/>
              </w:rPr>
            </w:pPr>
            <w:r w:rsidRPr="00AE4638">
              <w:rPr>
                <w:sz w:val="20"/>
                <w:szCs w:val="20"/>
              </w:rPr>
              <w:t>By 2015, determine the economic and social values of ecosystem good and services within selected MPAs and incorporate into site management plans.</w:t>
            </w:r>
          </w:p>
        </w:tc>
        <w:tc>
          <w:tcPr>
            <w:tcW w:w="2794" w:type="dxa"/>
            <w:tcBorders>
              <w:top w:val="single" w:sz="4" w:space="0" w:color="auto"/>
            </w:tcBorders>
            <w:hideMark/>
          </w:tcPr>
          <w:p w:rsidR="00967BA7" w:rsidRPr="00AE4638" w:rsidRDefault="006133B7">
            <w:pPr>
              <w:rPr>
                <w:sz w:val="20"/>
                <w:szCs w:val="20"/>
              </w:rPr>
            </w:pPr>
            <w:r w:rsidRPr="00AE4638">
              <w:rPr>
                <w:sz w:val="20"/>
                <w:szCs w:val="20"/>
              </w:rPr>
              <w:t>By 2015, determine the socio-economic values of MPAs to local/ national communities and economies in 5 countries.</w:t>
            </w:r>
          </w:p>
        </w:tc>
        <w:tc>
          <w:tcPr>
            <w:tcW w:w="2700" w:type="dxa"/>
            <w:tcBorders>
              <w:top w:val="single" w:sz="4" w:space="0" w:color="auto"/>
            </w:tcBorders>
            <w:hideMark/>
          </w:tcPr>
          <w:p w:rsidR="00967BA7" w:rsidRPr="00AE4638" w:rsidRDefault="006133B7" w:rsidP="00AE4638">
            <w:pPr>
              <w:rPr>
                <w:sz w:val="20"/>
                <w:szCs w:val="20"/>
              </w:rPr>
            </w:pPr>
            <w:r w:rsidRPr="00AE4638">
              <w:rPr>
                <w:sz w:val="20"/>
                <w:szCs w:val="20"/>
              </w:rPr>
              <w:t>By 2012, the socio-economic values of 5 MPAs (Exuma, Abaco, Bimini, Berry Islands and Andros) is determined and incorporated into site management plans.</w:t>
            </w:r>
          </w:p>
        </w:tc>
      </w:tr>
      <w:tr w:rsidR="008F3F2E" w:rsidRPr="00967BA7" w:rsidTr="00507599">
        <w:trPr>
          <w:trHeight w:val="2160"/>
        </w:trPr>
        <w:tc>
          <w:tcPr>
            <w:tcW w:w="1998" w:type="dxa"/>
            <w:vMerge/>
            <w:shd w:val="clear" w:color="auto" w:fill="B4ECFC" w:themeFill="text2" w:themeFillTint="33"/>
            <w:hideMark/>
          </w:tcPr>
          <w:p w:rsidR="00967BA7" w:rsidRPr="00967BA7" w:rsidRDefault="00967BA7">
            <w:pPr>
              <w:rPr>
                <w:b/>
                <w:bCs/>
              </w:rPr>
            </w:pPr>
          </w:p>
        </w:tc>
        <w:tc>
          <w:tcPr>
            <w:tcW w:w="2790" w:type="dxa"/>
            <w:tcBorders>
              <w:bottom w:val="single" w:sz="4" w:space="0" w:color="auto"/>
            </w:tcBorders>
            <w:hideMark/>
          </w:tcPr>
          <w:p w:rsidR="00967BA7" w:rsidRPr="00AE4638" w:rsidRDefault="00967BA7">
            <w:pPr>
              <w:rPr>
                <w:sz w:val="20"/>
                <w:szCs w:val="20"/>
              </w:rPr>
            </w:pPr>
            <w:r w:rsidRPr="00AE4638">
              <w:rPr>
                <w:sz w:val="20"/>
                <w:szCs w:val="20"/>
              </w:rPr>
              <w:t>Determine the socio-economic impacts of MPA enhancement/ expansion on human well-being</w:t>
            </w:r>
          </w:p>
        </w:tc>
        <w:tc>
          <w:tcPr>
            <w:tcW w:w="2966" w:type="dxa"/>
            <w:tcBorders>
              <w:bottom w:val="single" w:sz="4" w:space="0" w:color="auto"/>
            </w:tcBorders>
            <w:hideMark/>
          </w:tcPr>
          <w:p w:rsidR="00967BA7" w:rsidRPr="00AE4638" w:rsidRDefault="00967BA7">
            <w:pPr>
              <w:rPr>
                <w:sz w:val="20"/>
                <w:szCs w:val="20"/>
              </w:rPr>
            </w:pPr>
            <w:r w:rsidRPr="00AE4638">
              <w:rPr>
                <w:sz w:val="20"/>
                <w:szCs w:val="20"/>
              </w:rPr>
              <w:t>Determine the socio-economic impacts of MPA enhancement/ expansion on human well-being</w:t>
            </w:r>
          </w:p>
        </w:tc>
        <w:tc>
          <w:tcPr>
            <w:tcW w:w="2794" w:type="dxa"/>
            <w:tcBorders>
              <w:bottom w:val="single" w:sz="4" w:space="0" w:color="auto"/>
            </w:tcBorders>
            <w:hideMark/>
          </w:tcPr>
          <w:p w:rsidR="00967BA7" w:rsidRPr="00AE4638" w:rsidRDefault="00967BA7" w:rsidP="00AE4638">
            <w:pPr>
              <w:rPr>
                <w:sz w:val="20"/>
                <w:szCs w:val="20"/>
              </w:rPr>
            </w:pPr>
            <w:r w:rsidRPr="00AE4638">
              <w:rPr>
                <w:sz w:val="20"/>
                <w:szCs w:val="20"/>
              </w:rPr>
              <w:t>By 2020, determine the socio-economic impacts of the MPA enhancement/expansion on human well-being?</w:t>
            </w:r>
          </w:p>
        </w:tc>
        <w:tc>
          <w:tcPr>
            <w:tcW w:w="2700" w:type="dxa"/>
            <w:hideMark/>
          </w:tcPr>
          <w:p w:rsidR="00967BA7" w:rsidRPr="00AE4638" w:rsidRDefault="006133B7">
            <w:pPr>
              <w:rPr>
                <w:sz w:val="20"/>
                <w:szCs w:val="20"/>
              </w:rPr>
            </w:pPr>
            <w:r w:rsidRPr="00AE4638">
              <w:rPr>
                <w:sz w:val="20"/>
                <w:szCs w:val="20"/>
              </w:rPr>
              <w:t>By 2015, the socio-economic impacts of the MPA enhancement/ expansion</w:t>
            </w:r>
            <w:r>
              <w:rPr>
                <w:sz w:val="20"/>
                <w:szCs w:val="20"/>
              </w:rPr>
              <w:t xml:space="preserve"> strategy on human well-being are</w:t>
            </w:r>
            <w:r w:rsidRPr="00AE4638">
              <w:rPr>
                <w:sz w:val="20"/>
                <w:szCs w:val="20"/>
              </w:rPr>
              <w:t xml:space="preserve"> determined in 5 MPAs (Exuma, Abaco, Bimini, Berry Islands and Andros).</w:t>
            </w:r>
          </w:p>
        </w:tc>
      </w:tr>
      <w:tr w:rsidR="0031078C" w:rsidRPr="00967BA7" w:rsidTr="00507599">
        <w:trPr>
          <w:trHeight w:val="989"/>
        </w:trPr>
        <w:tc>
          <w:tcPr>
            <w:tcW w:w="1998" w:type="dxa"/>
            <w:vMerge w:val="restart"/>
            <w:tcBorders>
              <w:right w:val="single" w:sz="4" w:space="0" w:color="auto"/>
            </w:tcBorders>
            <w:shd w:val="clear" w:color="auto" w:fill="B4ECFC" w:themeFill="text2" w:themeFillTint="33"/>
            <w:hideMark/>
          </w:tcPr>
          <w:p w:rsidR="00967BA7" w:rsidRPr="00967BA7" w:rsidRDefault="00967BA7" w:rsidP="00967BA7">
            <w:pPr>
              <w:rPr>
                <w:b/>
                <w:bCs/>
              </w:rPr>
            </w:pPr>
            <w:r w:rsidRPr="00967BA7">
              <w:rPr>
                <w:b/>
                <w:bCs/>
              </w:rPr>
              <w:t>Improved MPA effectiveness at the site level</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966" w:type="dxa"/>
            <w:tcBorders>
              <w:left w:val="single" w:sz="4" w:space="0" w:color="auto"/>
              <w:bottom w:val="single" w:sz="4" w:space="0" w:color="auto"/>
              <w:right w:val="single" w:sz="4" w:space="0" w:color="auto"/>
            </w:tcBorders>
            <w:hideMark/>
          </w:tcPr>
          <w:p w:rsidR="00967BA7" w:rsidRPr="00AE4638" w:rsidRDefault="00967BA7">
            <w:pPr>
              <w:rPr>
                <w:sz w:val="20"/>
                <w:szCs w:val="20"/>
              </w:rPr>
            </w:pPr>
            <w:r w:rsidRPr="00AE4638">
              <w:rPr>
                <w:sz w:val="20"/>
                <w:szCs w:val="20"/>
              </w:rPr>
              <w:t xml:space="preserve">No net loss of mangrove coverage </w:t>
            </w:r>
          </w:p>
        </w:tc>
        <w:tc>
          <w:tcPr>
            <w:tcW w:w="2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700" w:type="dxa"/>
            <w:tcBorders>
              <w:left w:val="single" w:sz="4" w:space="0" w:color="auto"/>
            </w:tcBorders>
            <w:hideMark/>
          </w:tcPr>
          <w:p w:rsidR="00967BA7" w:rsidRPr="00AE4638" w:rsidRDefault="00967BA7">
            <w:pPr>
              <w:rPr>
                <w:sz w:val="20"/>
                <w:szCs w:val="20"/>
              </w:rPr>
            </w:pPr>
            <w:r w:rsidRPr="00AE4638">
              <w:rPr>
                <w:sz w:val="20"/>
                <w:szCs w:val="20"/>
              </w:rPr>
              <w:t>No net loss in mangrove and fishing flat habitat coverage up to 2020</w:t>
            </w:r>
          </w:p>
        </w:tc>
      </w:tr>
      <w:tr w:rsidR="0031078C" w:rsidRPr="00967BA7" w:rsidTr="00507599">
        <w:trPr>
          <w:trHeight w:val="1290"/>
        </w:trPr>
        <w:tc>
          <w:tcPr>
            <w:tcW w:w="1998" w:type="dxa"/>
            <w:vMerge/>
            <w:tcBorders>
              <w:right w:val="single" w:sz="4" w:space="0" w:color="auto"/>
            </w:tcBorders>
            <w:shd w:val="clear" w:color="auto" w:fill="B4ECFC" w:themeFill="text2" w:themeFillTint="33"/>
            <w:hideMark/>
          </w:tcPr>
          <w:p w:rsidR="00967BA7" w:rsidRPr="00967BA7" w:rsidRDefault="00967BA7">
            <w:pPr>
              <w:rPr>
                <w:b/>
                <w:bCs/>
              </w:rPr>
            </w:pP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966" w:type="dxa"/>
            <w:tcBorders>
              <w:top w:val="single" w:sz="4" w:space="0" w:color="auto"/>
              <w:left w:val="single" w:sz="4" w:space="0" w:color="auto"/>
              <w:bottom w:val="single" w:sz="4" w:space="0" w:color="auto"/>
              <w:right w:val="single" w:sz="4" w:space="0" w:color="auto"/>
            </w:tcBorders>
            <w:hideMark/>
          </w:tcPr>
          <w:p w:rsidR="00967BA7" w:rsidRPr="00AE4638" w:rsidRDefault="00967BA7">
            <w:pPr>
              <w:rPr>
                <w:sz w:val="20"/>
                <w:szCs w:val="20"/>
              </w:rPr>
            </w:pPr>
            <w:r w:rsidRPr="00AE4638">
              <w:rPr>
                <w:sz w:val="20"/>
                <w:szCs w:val="20"/>
              </w:rPr>
              <w:t>Sustainable fisheries strategy reduces unsustainable fisheries practices through a decrease in effort and a decrease in use of unsustainable gear and a change in techniques by 2015</w:t>
            </w:r>
          </w:p>
        </w:tc>
        <w:tc>
          <w:tcPr>
            <w:tcW w:w="2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BA7" w:rsidRPr="00AE4638" w:rsidRDefault="00967BA7">
            <w:pPr>
              <w:rPr>
                <w:sz w:val="20"/>
                <w:szCs w:val="20"/>
              </w:rPr>
            </w:pPr>
            <w:r w:rsidRPr="00AE4638">
              <w:rPr>
                <w:sz w:val="20"/>
                <w:szCs w:val="20"/>
              </w:rPr>
              <w:t> </w:t>
            </w:r>
          </w:p>
        </w:tc>
        <w:tc>
          <w:tcPr>
            <w:tcW w:w="2700" w:type="dxa"/>
            <w:tcBorders>
              <w:left w:val="single" w:sz="4" w:space="0" w:color="auto"/>
            </w:tcBorders>
            <w:hideMark/>
          </w:tcPr>
          <w:p w:rsidR="00967BA7" w:rsidRPr="00AE4638" w:rsidRDefault="00967BA7">
            <w:pPr>
              <w:rPr>
                <w:sz w:val="20"/>
                <w:szCs w:val="20"/>
              </w:rPr>
            </w:pPr>
            <w:r w:rsidRPr="00AE4638">
              <w:rPr>
                <w:sz w:val="20"/>
                <w:szCs w:val="20"/>
              </w:rPr>
              <w:t>Mangrove and fishing flat habitat is maintained by effective protection under the BNT Act.</w:t>
            </w:r>
          </w:p>
        </w:tc>
      </w:tr>
      <w:tr w:rsidR="0031078C" w:rsidRPr="00967BA7" w:rsidTr="00507599">
        <w:trPr>
          <w:trHeight w:val="615"/>
        </w:trPr>
        <w:tc>
          <w:tcPr>
            <w:tcW w:w="1998" w:type="dxa"/>
            <w:vMerge/>
            <w:tcBorders>
              <w:right w:val="single" w:sz="4" w:space="0" w:color="auto"/>
            </w:tcBorders>
            <w:shd w:val="clear" w:color="auto" w:fill="B4ECFC" w:themeFill="text2" w:themeFillTint="33"/>
            <w:hideMark/>
          </w:tcPr>
          <w:p w:rsidR="00967BA7" w:rsidRPr="00967BA7" w:rsidRDefault="00967BA7">
            <w:pPr>
              <w:rPr>
                <w:b/>
                <w:bCs/>
              </w:rPr>
            </w:pPr>
          </w:p>
        </w:tc>
        <w:tc>
          <w:tcPr>
            <w:tcW w:w="2790" w:type="dxa"/>
            <w:tcBorders>
              <w:top w:val="single" w:sz="4" w:space="0" w:color="auto"/>
              <w:left w:val="single" w:sz="4" w:space="0" w:color="auto"/>
              <w:bottom w:val="single" w:sz="4" w:space="0" w:color="auto"/>
              <w:right w:val="nil"/>
            </w:tcBorders>
            <w:shd w:val="clear" w:color="auto" w:fill="D9D9D9" w:themeFill="background1" w:themeFillShade="D9"/>
            <w:noWrap/>
            <w:hideMark/>
          </w:tcPr>
          <w:p w:rsidR="00967BA7" w:rsidRPr="00AE4638" w:rsidRDefault="00967BA7">
            <w:pPr>
              <w:rPr>
                <w:sz w:val="20"/>
                <w:szCs w:val="20"/>
              </w:rPr>
            </w:pPr>
            <w:r w:rsidRPr="00AE4638">
              <w:rPr>
                <w:sz w:val="20"/>
                <w:szCs w:val="20"/>
              </w:rPr>
              <w:t> </w:t>
            </w:r>
          </w:p>
        </w:tc>
        <w:tc>
          <w:tcPr>
            <w:tcW w:w="2966" w:type="dxa"/>
            <w:tcBorders>
              <w:top w:val="single" w:sz="4" w:space="0" w:color="auto"/>
              <w:left w:val="nil"/>
              <w:bottom w:val="single" w:sz="4" w:space="0" w:color="auto"/>
              <w:right w:val="nil"/>
            </w:tcBorders>
            <w:shd w:val="clear" w:color="auto" w:fill="D9D9D9" w:themeFill="background1" w:themeFillShade="D9"/>
            <w:noWrap/>
            <w:hideMark/>
          </w:tcPr>
          <w:p w:rsidR="00967BA7" w:rsidRPr="00AE4638" w:rsidRDefault="00967BA7">
            <w:pPr>
              <w:rPr>
                <w:sz w:val="20"/>
                <w:szCs w:val="20"/>
              </w:rPr>
            </w:pPr>
            <w:r w:rsidRPr="00AE4638">
              <w:rPr>
                <w:sz w:val="20"/>
                <w:szCs w:val="20"/>
              </w:rPr>
              <w:t> </w:t>
            </w:r>
          </w:p>
        </w:tc>
        <w:tc>
          <w:tcPr>
            <w:tcW w:w="279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67BA7" w:rsidRPr="00AE4638" w:rsidRDefault="00967BA7">
            <w:pPr>
              <w:rPr>
                <w:sz w:val="20"/>
                <w:szCs w:val="20"/>
              </w:rPr>
            </w:pPr>
            <w:r w:rsidRPr="00AE4638">
              <w:rPr>
                <w:sz w:val="20"/>
                <w:szCs w:val="20"/>
              </w:rPr>
              <w:t> </w:t>
            </w:r>
          </w:p>
        </w:tc>
        <w:tc>
          <w:tcPr>
            <w:tcW w:w="2700" w:type="dxa"/>
            <w:tcBorders>
              <w:left w:val="single" w:sz="4" w:space="0" w:color="auto"/>
            </w:tcBorders>
            <w:hideMark/>
          </w:tcPr>
          <w:p w:rsidR="00967BA7" w:rsidRPr="00AE4638" w:rsidRDefault="00967BA7" w:rsidP="0031078C">
            <w:pPr>
              <w:keepNext/>
              <w:rPr>
                <w:sz w:val="20"/>
                <w:szCs w:val="20"/>
              </w:rPr>
            </w:pPr>
            <w:r w:rsidRPr="00AE4638">
              <w:rPr>
                <w:sz w:val="20"/>
                <w:szCs w:val="20"/>
              </w:rPr>
              <w:t xml:space="preserve">Fish abundance maintained at 2011 levels or more. </w:t>
            </w:r>
          </w:p>
        </w:tc>
      </w:tr>
    </w:tbl>
    <w:p w:rsidR="0031078C" w:rsidRDefault="0031078C" w:rsidP="0031078C">
      <w:pPr>
        <w:pStyle w:val="Caption"/>
        <w:rPr>
          <w:lang w:val="en-029"/>
        </w:rPr>
      </w:pPr>
      <w:r w:rsidRPr="0031078C">
        <w:rPr>
          <w:b w:val="0"/>
          <w:bCs w:val="0"/>
        </w:rPr>
        <w:t>*</w:t>
      </w:r>
      <w:r>
        <w:t xml:space="preserve"> </w:t>
      </w:r>
      <w:r>
        <w:rPr>
          <w:lang w:val="en-029"/>
        </w:rPr>
        <w:t>See Appendix II for detailed information about this strategy and its implementation at the national scales. **Nearshore refers to coastal and marine areas above the 200m bathymetric line</w:t>
      </w:r>
    </w:p>
    <w:p w:rsidR="00507599" w:rsidRDefault="00507599">
      <w:pPr>
        <w:rPr>
          <w:lang w:val="en-029"/>
        </w:rPr>
        <w:sectPr w:rsidR="00507599" w:rsidSect="00507599">
          <w:pgSz w:w="15840" w:h="12240" w:orient="landscape"/>
          <w:pgMar w:top="1440" w:right="1440" w:bottom="1440" w:left="1440" w:header="720" w:footer="720" w:gutter="0"/>
          <w:cols w:space="720"/>
          <w:docGrid w:linePitch="360"/>
        </w:sectPr>
      </w:pPr>
    </w:p>
    <w:p w:rsidR="00FF02CA" w:rsidRPr="009618C1" w:rsidRDefault="00FF02CA" w:rsidP="009618C1">
      <w:pPr>
        <w:pStyle w:val="Heading1"/>
        <w:rPr>
          <w:caps/>
        </w:rPr>
      </w:pPr>
      <w:bookmarkStart w:id="18" w:name="_Toc295219027"/>
      <w:r w:rsidRPr="009618C1">
        <w:rPr>
          <w:caps/>
        </w:rPr>
        <w:lastRenderedPageBreak/>
        <w:t xml:space="preserve">Measures </w:t>
      </w:r>
      <w:r w:rsidR="00CC45FE" w:rsidRPr="009618C1">
        <w:rPr>
          <w:caps/>
        </w:rPr>
        <w:t xml:space="preserve">Implementation </w:t>
      </w:r>
      <w:r w:rsidRPr="009618C1">
        <w:rPr>
          <w:caps/>
        </w:rPr>
        <w:t xml:space="preserve">in </w:t>
      </w:r>
      <w:r w:rsidR="00F9702A">
        <w:rPr>
          <w:caps/>
        </w:rPr>
        <w:t>Caribbean Challenge Initiative</w:t>
      </w:r>
      <w:bookmarkEnd w:id="18"/>
      <w:r w:rsidR="00F9702A">
        <w:rPr>
          <w:caps/>
        </w:rPr>
        <w:t xml:space="preserve"> </w:t>
      </w:r>
    </w:p>
    <w:p w:rsidR="00CC45FE" w:rsidRDefault="00A10378" w:rsidP="00FF02CA">
      <w:pPr>
        <w:rPr>
          <w:lang w:val="en-029"/>
        </w:rPr>
      </w:pPr>
      <w:r>
        <w:rPr>
          <w:lang w:val="en-029"/>
        </w:rPr>
        <w:t xml:space="preserve">The usefulness of this measures framework will be determined by how well measuring and reporting on strategy progress are integrated into the operations of Caribbean Programme and their acceptability to </w:t>
      </w:r>
      <w:r w:rsidR="00F9702A">
        <w:rPr>
          <w:lang w:val="en-029"/>
        </w:rPr>
        <w:t xml:space="preserve">Caribbean Challenge Initiative </w:t>
      </w:r>
      <w:r>
        <w:rPr>
          <w:lang w:val="en-029"/>
        </w:rPr>
        <w:t xml:space="preserve">partners and donors. </w:t>
      </w:r>
      <w:r w:rsidR="00754B8F">
        <w:rPr>
          <w:lang w:val="en-029"/>
        </w:rPr>
        <w:t>With this in mind</w:t>
      </w:r>
      <w:r w:rsidR="00A650CC">
        <w:rPr>
          <w:lang w:val="en-029"/>
        </w:rPr>
        <w:t>,</w:t>
      </w:r>
      <w:r w:rsidR="00754B8F">
        <w:rPr>
          <w:lang w:val="en-029"/>
        </w:rPr>
        <w:t xml:space="preserve"> we recommend that in FY12 the following priority actions are taken: </w:t>
      </w:r>
    </w:p>
    <w:p w:rsidR="00754B8F" w:rsidRDefault="002D5408" w:rsidP="00754B8F">
      <w:pPr>
        <w:pStyle w:val="ListParagraph"/>
        <w:numPr>
          <w:ilvl w:val="0"/>
          <w:numId w:val="17"/>
        </w:numPr>
        <w:rPr>
          <w:lang w:val="en-029"/>
        </w:rPr>
      </w:pPr>
      <w:r>
        <w:rPr>
          <w:lang w:val="en-029"/>
        </w:rPr>
        <w:t xml:space="preserve">Ensure that </w:t>
      </w:r>
      <w:r w:rsidR="00754B8F" w:rsidRPr="00754B8F">
        <w:rPr>
          <w:lang w:val="en-029"/>
        </w:rPr>
        <w:t xml:space="preserve">TNC Caribbean </w:t>
      </w:r>
      <w:r w:rsidR="0067537E" w:rsidRPr="00754B8F">
        <w:rPr>
          <w:lang w:val="en-029"/>
        </w:rPr>
        <w:t>staffs</w:t>
      </w:r>
      <w:r w:rsidR="00754B8F" w:rsidRPr="00754B8F">
        <w:rPr>
          <w:lang w:val="en-029"/>
        </w:rPr>
        <w:t xml:space="preserve"> </w:t>
      </w:r>
      <w:r>
        <w:rPr>
          <w:lang w:val="en-029"/>
        </w:rPr>
        <w:t>are specifically</w:t>
      </w:r>
      <w:r w:rsidR="00754B8F" w:rsidRPr="00754B8F">
        <w:rPr>
          <w:lang w:val="en-029"/>
        </w:rPr>
        <w:t xml:space="preserve"> assigned to monitor all indicators according to the framework developed.</w:t>
      </w:r>
    </w:p>
    <w:p w:rsidR="00B15EBC" w:rsidRPr="00754B8F" w:rsidRDefault="00B15EBC" w:rsidP="00754B8F">
      <w:pPr>
        <w:pStyle w:val="ListParagraph"/>
        <w:numPr>
          <w:ilvl w:val="0"/>
          <w:numId w:val="17"/>
        </w:numPr>
        <w:rPr>
          <w:lang w:val="en-029"/>
        </w:rPr>
      </w:pPr>
      <w:r>
        <w:rPr>
          <w:lang w:val="en-029"/>
        </w:rPr>
        <w:t>Secure resources and expertise for the development of ecological and socio-economic status measures.</w:t>
      </w:r>
    </w:p>
    <w:p w:rsidR="00B15EBC" w:rsidRDefault="005855AC" w:rsidP="00754B8F">
      <w:pPr>
        <w:pStyle w:val="ListParagraph"/>
        <w:numPr>
          <w:ilvl w:val="0"/>
          <w:numId w:val="17"/>
        </w:numPr>
        <w:rPr>
          <w:lang w:val="en-029"/>
        </w:rPr>
      </w:pPr>
      <w:r w:rsidRPr="00B15EBC">
        <w:rPr>
          <w:lang w:val="en-029"/>
        </w:rPr>
        <w:t>Establish the capacity for monitoring, evaluation, and reporting within the Caribbean Challenge Initiative coordination mechanism. This will include a plan for the long-term financing of measures</w:t>
      </w:r>
      <w:r w:rsidR="00B15EBC" w:rsidRPr="00B15EBC">
        <w:rPr>
          <w:lang w:val="en-029"/>
        </w:rPr>
        <w:t xml:space="preserve"> monitoring</w:t>
      </w:r>
    </w:p>
    <w:p w:rsidR="00754B8F" w:rsidRPr="00B15EBC" w:rsidRDefault="00B15EBC" w:rsidP="00754B8F">
      <w:pPr>
        <w:pStyle w:val="ListParagraph"/>
        <w:numPr>
          <w:ilvl w:val="0"/>
          <w:numId w:val="17"/>
        </w:numPr>
        <w:rPr>
          <w:lang w:val="en-029"/>
        </w:rPr>
      </w:pPr>
      <w:r>
        <w:rPr>
          <w:lang w:val="en-029"/>
        </w:rPr>
        <w:t>I</w:t>
      </w:r>
      <w:r w:rsidR="00754B8F" w:rsidRPr="00B15EBC">
        <w:rPr>
          <w:lang w:val="en-029"/>
        </w:rPr>
        <w:t>ntegrate measures (data collection, processing and communication) in the annual workplans of all science, conservation and government relations staff. This should be directed at establishing baselines as well measuring progress.</w:t>
      </w:r>
    </w:p>
    <w:p w:rsidR="00754B8F" w:rsidRPr="00754B8F" w:rsidRDefault="00754B8F" w:rsidP="00754B8F">
      <w:pPr>
        <w:pStyle w:val="ListParagraph"/>
        <w:numPr>
          <w:ilvl w:val="0"/>
          <w:numId w:val="17"/>
        </w:numPr>
        <w:rPr>
          <w:lang w:val="en-029"/>
        </w:rPr>
      </w:pPr>
      <w:r>
        <w:rPr>
          <w:lang w:val="en-029"/>
        </w:rPr>
        <w:t>Develop simple, informative</w:t>
      </w:r>
      <w:r w:rsidR="00A650CC">
        <w:rPr>
          <w:lang w:val="en-029"/>
        </w:rPr>
        <w:t>,</w:t>
      </w:r>
      <w:r>
        <w:rPr>
          <w:lang w:val="en-029"/>
        </w:rPr>
        <w:t xml:space="preserve"> and attractive reporting formats to keep partners</w:t>
      </w:r>
      <w:r w:rsidR="0079271E">
        <w:rPr>
          <w:lang w:val="en-029"/>
        </w:rPr>
        <w:t>,</w:t>
      </w:r>
      <w:r>
        <w:rPr>
          <w:lang w:val="en-029"/>
        </w:rPr>
        <w:t xml:space="preserve"> donors </w:t>
      </w:r>
      <w:r w:rsidR="0079271E">
        <w:rPr>
          <w:lang w:val="en-029"/>
        </w:rPr>
        <w:t xml:space="preserve">and core TNC conservation and measures staff </w:t>
      </w:r>
      <w:r>
        <w:rPr>
          <w:lang w:val="en-029"/>
        </w:rPr>
        <w:t xml:space="preserve">aware </w:t>
      </w:r>
      <w:r w:rsidR="007C4D90">
        <w:rPr>
          <w:lang w:val="en-029"/>
        </w:rPr>
        <w:t xml:space="preserve">of </w:t>
      </w:r>
      <w:r w:rsidR="00F9702A">
        <w:rPr>
          <w:lang w:val="en-029"/>
        </w:rPr>
        <w:t xml:space="preserve">Caribbean Challenge Initiative </w:t>
      </w:r>
      <w:r w:rsidR="007C4D90">
        <w:rPr>
          <w:lang w:val="en-029"/>
        </w:rPr>
        <w:t>progress.</w:t>
      </w:r>
    </w:p>
    <w:p w:rsidR="005432AC" w:rsidRDefault="005432AC" w:rsidP="00FF02CA">
      <w:pPr>
        <w:rPr>
          <w:lang w:val="en-029"/>
        </w:rPr>
      </w:pPr>
    </w:p>
    <w:p w:rsidR="005432AC" w:rsidRDefault="005432AC">
      <w:pPr>
        <w:rPr>
          <w:lang w:val="en-029"/>
        </w:rPr>
      </w:pPr>
      <w:r>
        <w:rPr>
          <w:lang w:val="en-029"/>
        </w:rPr>
        <w:br w:type="page"/>
      </w:r>
    </w:p>
    <w:p w:rsidR="007F031D" w:rsidRPr="007F031D" w:rsidRDefault="007F031D" w:rsidP="00896A5F">
      <w:pPr>
        <w:pStyle w:val="Heading1"/>
        <w:jc w:val="center"/>
        <w:rPr>
          <w:lang w:val="en-029"/>
        </w:rPr>
      </w:pPr>
      <w:bookmarkStart w:id="19" w:name="_Toc295219028"/>
      <w:r w:rsidRPr="007F031D">
        <w:rPr>
          <w:lang w:val="en-029"/>
        </w:rPr>
        <w:lastRenderedPageBreak/>
        <w:t>A</w:t>
      </w:r>
      <w:r w:rsidR="00E03060">
        <w:rPr>
          <w:lang w:val="en-029"/>
        </w:rPr>
        <w:t>CRONYMS</w:t>
      </w:r>
      <w:bookmarkEnd w:id="19"/>
    </w:p>
    <w:p w:rsidR="00896A5F" w:rsidRDefault="00896A5F" w:rsidP="007F031D">
      <w:pPr>
        <w:rPr>
          <w:lang w:val="en-029"/>
        </w:rPr>
      </w:pPr>
    </w:p>
    <w:p w:rsidR="00305198" w:rsidRDefault="00305198" w:rsidP="007F031D">
      <w:pPr>
        <w:rPr>
          <w:lang w:val="en-029"/>
        </w:rPr>
      </w:pPr>
      <w:r>
        <w:rPr>
          <w:lang w:val="en-029"/>
        </w:rPr>
        <w:t>BPAF</w:t>
      </w:r>
      <w:r>
        <w:rPr>
          <w:lang w:val="en-029"/>
        </w:rPr>
        <w:tab/>
      </w:r>
      <w:r>
        <w:rPr>
          <w:lang w:val="en-029"/>
        </w:rPr>
        <w:tab/>
        <w:t>Bahamas Protected Area Fund</w:t>
      </w:r>
    </w:p>
    <w:p w:rsidR="007F031D" w:rsidRPr="007F031D" w:rsidRDefault="007F031D" w:rsidP="007F031D">
      <w:pPr>
        <w:rPr>
          <w:lang w:val="en-029"/>
        </w:rPr>
      </w:pPr>
      <w:r w:rsidRPr="007F031D">
        <w:rPr>
          <w:lang w:val="en-029"/>
        </w:rPr>
        <w:t>CBD</w:t>
      </w:r>
      <w:r w:rsidRPr="007F031D">
        <w:rPr>
          <w:lang w:val="en-029"/>
        </w:rPr>
        <w:tab/>
      </w:r>
      <w:r w:rsidRPr="007F031D">
        <w:rPr>
          <w:lang w:val="en-029"/>
        </w:rPr>
        <w:tab/>
        <w:t xml:space="preserve"> Convention on Biological Diversity</w:t>
      </w:r>
    </w:p>
    <w:p w:rsidR="007F031D" w:rsidRPr="007F031D" w:rsidRDefault="007F031D" w:rsidP="007F031D">
      <w:pPr>
        <w:rPr>
          <w:lang w:val="en-029"/>
        </w:rPr>
      </w:pPr>
      <w:r w:rsidRPr="007F031D">
        <w:rPr>
          <w:lang w:val="en-029"/>
        </w:rPr>
        <w:t>CBF</w:t>
      </w:r>
      <w:r w:rsidRPr="007F031D">
        <w:rPr>
          <w:lang w:val="en-029"/>
        </w:rPr>
        <w:tab/>
      </w:r>
      <w:r w:rsidRPr="007F031D">
        <w:rPr>
          <w:lang w:val="en-029"/>
        </w:rPr>
        <w:tab/>
        <w:t>Caribbean Biodiversity Fund</w:t>
      </w:r>
    </w:p>
    <w:p w:rsidR="007F031D" w:rsidRPr="007F031D" w:rsidRDefault="007F031D" w:rsidP="007F031D">
      <w:pPr>
        <w:rPr>
          <w:lang w:val="es-CO"/>
        </w:rPr>
      </w:pPr>
      <w:r w:rsidRPr="007F031D">
        <w:rPr>
          <w:lang w:val="es-CO"/>
        </w:rPr>
        <w:t>CODOPESCA</w:t>
      </w:r>
      <w:r w:rsidRPr="007F031D">
        <w:rPr>
          <w:lang w:val="es-CO"/>
        </w:rPr>
        <w:tab/>
        <w:t xml:space="preserve"> Consejo Dominicano de Pesca y Acuicultura (Dominican Council on Fisheries and Aquaculture)</w:t>
      </w:r>
    </w:p>
    <w:p w:rsidR="007F031D" w:rsidRPr="007F031D" w:rsidRDefault="007F031D" w:rsidP="007F031D">
      <w:pPr>
        <w:rPr>
          <w:lang w:val="en-029"/>
        </w:rPr>
      </w:pPr>
      <w:r w:rsidRPr="007F031D">
        <w:rPr>
          <w:lang w:val="en-029"/>
        </w:rPr>
        <w:t xml:space="preserve">DR </w:t>
      </w:r>
      <w:r w:rsidRPr="007F031D">
        <w:rPr>
          <w:lang w:val="en-029"/>
        </w:rPr>
        <w:tab/>
      </w:r>
      <w:r w:rsidRPr="007F031D">
        <w:rPr>
          <w:lang w:val="en-029"/>
        </w:rPr>
        <w:tab/>
        <w:t>Dominican Republic</w:t>
      </w:r>
    </w:p>
    <w:p w:rsidR="007F031D" w:rsidRPr="007F031D" w:rsidRDefault="007F031D" w:rsidP="007F031D">
      <w:pPr>
        <w:rPr>
          <w:lang w:val="en-029"/>
        </w:rPr>
      </w:pPr>
      <w:r w:rsidRPr="007F031D">
        <w:rPr>
          <w:lang w:val="en-029"/>
        </w:rPr>
        <w:t>GEF</w:t>
      </w:r>
      <w:r w:rsidRPr="007F031D">
        <w:rPr>
          <w:lang w:val="en-029"/>
        </w:rPr>
        <w:tab/>
      </w:r>
      <w:r w:rsidRPr="007F031D">
        <w:rPr>
          <w:lang w:val="en-029"/>
        </w:rPr>
        <w:tab/>
        <w:t>Global Environment Facility</w:t>
      </w:r>
    </w:p>
    <w:p w:rsidR="007F031D" w:rsidRPr="007F031D" w:rsidRDefault="007F031D" w:rsidP="007F031D">
      <w:pPr>
        <w:rPr>
          <w:lang w:val="es-CO"/>
        </w:rPr>
      </w:pPr>
      <w:r w:rsidRPr="007F031D">
        <w:rPr>
          <w:lang w:val="es-CO"/>
        </w:rPr>
        <w:t xml:space="preserve">MARENA </w:t>
      </w:r>
      <w:r w:rsidRPr="007F031D">
        <w:rPr>
          <w:lang w:val="es-CO"/>
        </w:rPr>
        <w:tab/>
        <w:t>Ministerio de Medio Ambiente y Recursos Naturales (Ministry of Environment and Natural Resources)</w:t>
      </w:r>
    </w:p>
    <w:p w:rsidR="007F031D" w:rsidRPr="007F031D" w:rsidRDefault="007F031D" w:rsidP="007F031D">
      <w:pPr>
        <w:rPr>
          <w:lang w:val="en-029"/>
        </w:rPr>
      </w:pPr>
      <w:r w:rsidRPr="007F031D">
        <w:rPr>
          <w:lang w:val="en-029"/>
        </w:rPr>
        <w:t xml:space="preserve">METT </w:t>
      </w:r>
      <w:r w:rsidRPr="007F031D">
        <w:rPr>
          <w:lang w:val="en-029"/>
        </w:rPr>
        <w:tab/>
      </w:r>
      <w:r w:rsidRPr="007F031D">
        <w:rPr>
          <w:lang w:val="en-029"/>
        </w:rPr>
        <w:tab/>
        <w:t>Management Effectiveness Tracking Tool</w:t>
      </w:r>
    </w:p>
    <w:p w:rsidR="007F031D" w:rsidRPr="007F031D" w:rsidRDefault="007F031D" w:rsidP="007F031D">
      <w:pPr>
        <w:rPr>
          <w:lang w:val="en-029"/>
        </w:rPr>
      </w:pPr>
      <w:r w:rsidRPr="007F031D">
        <w:rPr>
          <w:lang w:val="en-029"/>
        </w:rPr>
        <w:t xml:space="preserve">NPATF </w:t>
      </w:r>
      <w:r w:rsidRPr="007F031D">
        <w:rPr>
          <w:lang w:val="en-029"/>
        </w:rPr>
        <w:tab/>
      </w:r>
      <w:r w:rsidRPr="007F031D">
        <w:rPr>
          <w:lang w:val="en-029"/>
        </w:rPr>
        <w:tab/>
        <w:t>National Protected Area Trust Fund</w:t>
      </w:r>
    </w:p>
    <w:p w:rsidR="007F031D" w:rsidRPr="007F031D" w:rsidRDefault="007F031D" w:rsidP="007F031D">
      <w:pPr>
        <w:rPr>
          <w:lang w:val="en-029"/>
        </w:rPr>
      </w:pPr>
      <w:r w:rsidRPr="007F031D">
        <w:rPr>
          <w:lang w:val="en-029"/>
        </w:rPr>
        <w:t xml:space="preserve">NISP </w:t>
      </w:r>
      <w:r w:rsidRPr="007F031D">
        <w:rPr>
          <w:lang w:val="en-029"/>
        </w:rPr>
        <w:tab/>
      </w:r>
      <w:r w:rsidRPr="007F031D">
        <w:rPr>
          <w:lang w:val="en-029"/>
        </w:rPr>
        <w:tab/>
        <w:t>National Implementation Support Program</w:t>
      </w:r>
    </w:p>
    <w:p w:rsidR="007F031D" w:rsidRPr="007F031D" w:rsidRDefault="007F031D" w:rsidP="007F031D">
      <w:pPr>
        <w:rPr>
          <w:lang w:val="en-029"/>
        </w:rPr>
      </w:pPr>
      <w:r w:rsidRPr="007F031D">
        <w:rPr>
          <w:lang w:val="en-029"/>
        </w:rPr>
        <w:t xml:space="preserve">PA </w:t>
      </w:r>
      <w:r w:rsidRPr="007F031D">
        <w:rPr>
          <w:lang w:val="en-029"/>
        </w:rPr>
        <w:tab/>
      </w:r>
      <w:r w:rsidRPr="007F031D">
        <w:rPr>
          <w:lang w:val="en-029"/>
        </w:rPr>
        <w:tab/>
        <w:t xml:space="preserve">Protected Area </w:t>
      </w:r>
    </w:p>
    <w:p w:rsidR="007F031D" w:rsidRPr="007F031D" w:rsidRDefault="007F031D" w:rsidP="007F031D">
      <w:pPr>
        <w:rPr>
          <w:lang w:val="en-029"/>
        </w:rPr>
      </w:pPr>
      <w:r w:rsidRPr="007F031D">
        <w:rPr>
          <w:lang w:val="en-029"/>
        </w:rPr>
        <w:t>POWPA</w:t>
      </w:r>
      <w:r w:rsidRPr="007F031D">
        <w:rPr>
          <w:lang w:val="en-029"/>
        </w:rPr>
        <w:tab/>
      </w:r>
      <w:r w:rsidRPr="007F031D">
        <w:rPr>
          <w:lang w:val="en-029"/>
        </w:rPr>
        <w:tab/>
        <w:t>Programme of work on Protected Areas</w:t>
      </w:r>
    </w:p>
    <w:p w:rsidR="007F031D" w:rsidRPr="007F031D" w:rsidRDefault="007F031D" w:rsidP="007F031D">
      <w:pPr>
        <w:rPr>
          <w:lang w:val="en-029"/>
        </w:rPr>
      </w:pPr>
      <w:r w:rsidRPr="007F031D">
        <w:rPr>
          <w:lang w:val="en-029"/>
        </w:rPr>
        <w:t xml:space="preserve">RAPPAM </w:t>
      </w:r>
      <w:r w:rsidRPr="007F031D">
        <w:rPr>
          <w:lang w:val="en-029"/>
        </w:rPr>
        <w:tab/>
      </w:r>
      <w:r w:rsidRPr="007F031D">
        <w:t>Rapid Assessment and Prioritization of Protected Area Management Methodology</w:t>
      </w:r>
    </w:p>
    <w:p w:rsidR="007F031D" w:rsidRPr="007F031D" w:rsidRDefault="007F031D" w:rsidP="007F031D">
      <w:pPr>
        <w:rPr>
          <w:lang w:val="en-029"/>
        </w:rPr>
      </w:pPr>
      <w:r w:rsidRPr="007F031D">
        <w:rPr>
          <w:lang w:val="en-029"/>
        </w:rPr>
        <w:t xml:space="preserve">SINAP </w:t>
      </w:r>
      <w:r w:rsidRPr="007F031D">
        <w:rPr>
          <w:lang w:val="en-029"/>
        </w:rPr>
        <w:tab/>
      </w:r>
      <w:r w:rsidRPr="007F031D">
        <w:rPr>
          <w:lang w:val="en-029"/>
        </w:rPr>
        <w:tab/>
        <w:t>Sistema Nacional de Areas Protegidas (National System of Protected Areas)</w:t>
      </w:r>
    </w:p>
    <w:p w:rsidR="007F031D" w:rsidRPr="007F031D" w:rsidRDefault="007F031D" w:rsidP="007F031D"/>
    <w:p w:rsidR="005432AC" w:rsidRDefault="005432AC" w:rsidP="00FF02CA">
      <w:pPr>
        <w:rPr>
          <w:lang w:val="en-029"/>
        </w:rPr>
      </w:pPr>
    </w:p>
    <w:p w:rsidR="00A10378" w:rsidRPr="00917B65" w:rsidRDefault="00A10378" w:rsidP="00FF02CA">
      <w:pPr>
        <w:rPr>
          <w:lang w:val="en-029"/>
        </w:rPr>
      </w:pPr>
    </w:p>
    <w:p w:rsidR="00234B43" w:rsidRDefault="00234B43" w:rsidP="000C2124">
      <w:pPr>
        <w:framePr w:w="11430" w:wrap="auto" w:hAnchor="text"/>
        <w:rPr>
          <w:lang w:val="en-029"/>
        </w:rPr>
        <w:sectPr w:rsidR="00234B43" w:rsidSect="00507599">
          <w:pgSz w:w="12240" w:h="15840"/>
          <w:pgMar w:top="1440" w:right="1440" w:bottom="1440" w:left="1440" w:header="720" w:footer="720" w:gutter="0"/>
          <w:cols w:space="720"/>
          <w:docGrid w:linePitch="360"/>
        </w:sectPr>
      </w:pPr>
    </w:p>
    <w:p w:rsidR="00F91014" w:rsidRPr="00917B65" w:rsidRDefault="00F91014" w:rsidP="002D5408">
      <w:pPr>
        <w:jc w:val="center"/>
        <w:rPr>
          <w:lang w:val="en-029"/>
        </w:rPr>
      </w:pPr>
      <w:r w:rsidRPr="00917B65">
        <w:rPr>
          <w:lang w:val="en-029"/>
        </w:rPr>
        <w:lastRenderedPageBreak/>
        <w:t>APPENDICES</w:t>
      </w:r>
    </w:p>
    <w:p w:rsidR="000B33EE" w:rsidRDefault="000B33EE">
      <w:pPr>
        <w:rPr>
          <w:b/>
          <w:lang w:val="en-029"/>
        </w:rPr>
      </w:pPr>
    </w:p>
    <w:p w:rsidR="00340FD8" w:rsidRDefault="00340FD8" w:rsidP="002D5408">
      <w:pPr>
        <w:pStyle w:val="Heading1"/>
        <w:rPr>
          <w:lang w:val="en-029"/>
        </w:rPr>
      </w:pPr>
      <w:bookmarkStart w:id="20" w:name="_Toc295219029"/>
      <w:r>
        <w:rPr>
          <w:lang w:val="en-029"/>
        </w:rPr>
        <w:t xml:space="preserve">Appendix </w:t>
      </w:r>
      <w:r w:rsidR="002D5408">
        <w:rPr>
          <w:lang w:val="en-029"/>
        </w:rPr>
        <w:t>I</w:t>
      </w:r>
      <w:r>
        <w:rPr>
          <w:lang w:val="en-029"/>
        </w:rPr>
        <w:t>: Detailed Monitoring Table for Regional Sustainable Finance Strategy</w:t>
      </w:r>
      <w:bookmarkEnd w:id="20"/>
    </w:p>
    <w:p w:rsidR="00340FD8" w:rsidRPr="000E5AA8" w:rsidRDefault="00340FD8" w:rsidP="00340FD8">
      <w:pPr>
        <w:rPr>
          <w:lang w:val="en-029"/>
        </w:rPr>
      </w:pPr>
    </w:p>
    <w:p w:rsidR="00340FD8" w:rsidRDefault="00340FD8" w:rsidP="00340FD8">
      <w:pPr>
        <w:pStyle w:val="Caption"/>
        <w:keepNext/>
      </w:pPr>
      <w:r>
        <w:t xml:space="preserve"> </w:t>
      </w:r>
      <w:r w:rsidR="006133B7">
        <w:t>Regional Sustainable Finance Monitoring Table.</w:t>
      </w:r>
    </w:p>
    <w:tbl>
      <w:tblPr>
        <w:tblW w:w="5000" w:type="pct"/>
        <w:tblCellMar>
          <w:left w:w="115" w:type="dxa"/>
          <w:right w:w="115" w:type="dxa"/>
        </w:tblCellMar>
        <w:tblLook w:val="04A0"/>
      </w:tblPr>
      <w:tblGrid>
        <w:gridCol w:w="1790"/>
        <w:gridCol w:w="3593"/>
        <w:gridCol w:w="1612"/>
        <w:gridCol w:w="1612"/>
        <w:gridCol w:w="1989"/>
        <w:gridCol w:w="2594"/>
      </w:tblGrid>
      <w:tr w:rsidR="00340FD8" w:rsidRPr="00234B43" w:rsidTr="00340FD8">
        <w:trPr>
          <w:trHeight w:val="315"/>
          <w:tblHeader/>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0FD8" w:rsidRPr="00234B43" w:rsidRDefault="00340FD8" w:rsidP="00340FD8">
            <w:pPr>
              <w:spacing w:after="0" w:line="240" w:lineRule="auto"/>
              <w:jc w:val="center"/>
              <w:rPr>
                <w:rFonts w:ascii="Calibri" w:eastAsia="Times New Roman" w:hAnsi="Calibri" w:cs="Times New Roman"/>
                <w:b/>
                <w:bCs/>
                <w:color w:val="000000"/>
                <w:sz w:val="24"/>
                <w:szCs w:val="24"/>
              </w:rPr>
            </w:pPr>
            <w:r w:rsidRPr="00234B43">
              <w:rPr>
                <w:rFonts w:ascii="Calibri" w:eastAsia="Times New Roman" w:hAnsi="Calibri" w:cs="Times New Roman"/>
                <w:b/>
                <w:bCs/>
                <w:color w:val="000000"/>
                <w:sz w:val="24"/>
                <w:szCs w:val="24"/>
              </w:rPr>
              <w:t xml:space="preserve">Objective </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rsidR="00340FD8" w:rsidRPr="00234B43" w:rsidRDefault="00340FD8" w:rsidP="00340FD8">
            <w:pPr>
              <w:spacing w:after="0" w:line="240" w:lineRule="auto"/>
              <w:jc w:val="center"/>
              <w:rPr>
                <w:rFonts w:ascii="Calibri" w:eastAsia="Times New Roman" w:hAnsi="Calibri" w:cs="Times New Roman"/>
                <w:b/>
                <w:bCs/>
                <w:color w:val="000000"/>
                <w:sz w:val="24"/>
                <w:szCs w:val="24"/>
              </w:rPr>
            </w:pPr>
            <w:r w:rsidRPr="00234B43">
              <w:rPr>
                <w:rFonts w:ascii="Calibri" w:eastAsia="Times New Roman" w:hAnsi="Calibri" w:cs="Times New Roman"/>
                <w:b/>
                <w:bCs/>
                <w:color w:val="000000"/>
                <w:sz w:val="24"/>
                <w:szCs w:val="24"/>
              </w:rPr>
              <w:t>Indicators</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340FD8" w:rsidRPr="00234B43" w:rsidRDefault="00340FD8" w:rsidP="00340FD8">
            <w:pPr>
              <w:spacing w:after="0" w:line="240" w:lineRule="auto"/>
              <w:jc w:val="center"/>
              <w:rPr>
                <w:rFonts w:ascii="Calibri" w:eastAsia="Times New Roman" w:hAnsi="Calibri" w:cs="Times New Roman"/>
                <w:b/>
                <w:bCs/>
                <w:color w:val="000000"/>
                <w:sz w:val="24"/>
                <w:szCs w:val="24"/>
              </w:rPr>
            </w:pPr>
            <w:r w:rsidRPr="00234B43">
              <w:rPr>
                <w:rFonts w:ascii="Calibri" w:eastAsia="Times New Roman" w:hAnsi="Calibri" w:cs="Times New Roman"/>
                <w:b/>
                <w:bCs/>
                <w:color w:val="000000"/>
                <w:sz w:val="24"/>
                <w:szCs w:val="24"/>
              </w:rPr>
              <w:t>Who monitors</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340FD8" w:rsidRPr="00234B43" w:rsidRDefault="00340FD8" w:rsidP="00340FD8">
            <w:pPr>
              <w:spacing w:after="0" w:line="240" w:lineRule="auto"/>
              <w:jc w:val="center"/>
              <w:rPr>
                <w:rFonts w:ascii="Calibri" w:eastAsia="Times New Roman" w:hAnsi="Calibri" w:cs="Times New Roman"/>
                <w:b/>
                <w:bCs/>
                <w:color w:val="000000"/>
                <w:sz w:val="24"/>
                <w:szCs w:val="24"/>
              </w:rPr>
            </w:pPr>
            <w:r w:rsidRPr="00234B43">
              <w:rPr>
                <w:rFonts w:ascii="Calibri" w:eastAsia="Times New Roman" w:hAnsi="Calibri" w:cs="Times New Roman"/>
                <w:b/>
                <w:bCs/>
                <w:color w:val="000000"/>
                <w:sz w:val="24"/>
                <w:szCs w:val="24"/>
              </w:rPr>
              <w:t>Frequency</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340FD8" w:rsidRPr="00234B43" w:rsidRDefault="00340FD8" w:rsidP="00340FD8">
            <w:pPr>
              <w:spacing w:after="0" w:line="240" w:lineRule="auto"/>
              <w:jc w:val="center"/>
              <w:rPr>
                <w:rFonts w:ascii="Calibri" w:eastAsia="Times New Roman" w:hAnsi="Calibri" w:cs="Times New Roman"/>
                <w:b/>
                <w:bCs/>
                <w:color w:val="000000"/>
                <w:sz w:val="24"/>
                <w:szCs w:val="24"/>
              </w:rPr>
            </w:pPr>
            <w:r w:rsidRPr="00234B43">
              <w:rPr>
                <w:rFonts w:ascii="Calibri" w:eastAsia="Times New Roman" w:hAnsi="Calibri" w:cs="Times New Roman"/>
                <w:b/>
                <w:bCs/>
                <w:color w:val="000000"/>
                <w:sz w:val="24"/>
                <w:szCs w:val="24"/>
              </w:rPr>
              <w:t>Audience</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rsidR="00340FD8" w:rsidRPr="00234B43" w:rsidRDefault="00340FD8" w:rsidP="00340FD8">
            <w:pPr>
              <w:spacing w:after="0" w:line="240" w:lineRule="auto"/>
              <w:jc w:val="center"/>
              <w:rPr>
                <w:rFonts w:ascii="Calibri" w:eastAsia="Times New Roman" w:hAnsi="Calibri" w:cs="Times New Roman"/>
                <w:b/>
                <w:bCs/>
                <w:color w:val="000000"/>
                <w:sz w:val="24"/>
                <w:szCs w:val="24"/>
              </w:rPr>
            </w:pPr>
            <w:r w:rsidRPr="00234B43">
              <w:rPr>
                <w:rFonts w:ascii="Calibri" w:eastAsia="Times New Roman" w:hAnsi="Calibri" w:cs="Times New Roman"/>
                <w:b/>
                <w:bCs/>
                <w:color w:val="000000"/>
                <w:sz w:val="24"/>
                <w:szCs w:val="24"/>
              </w:rPr>
              <w:t>Decision-making trigger</w:t>
            </w:r>
          </w:p>
        </w:tc>
      </w:tr>
      <w:tr w:rsidR="00340FD8" w:rsidRPr="00234B43" w:rsidTr="00340FD8">
        <w:trPr>
          <w:trHeight w:val="1200"/>
        </w:trPr>
        <w:tc>
          <w:tcPr>
            <w:tcW w:w="679" w:type="pct"/>
            <w:vMerge w:val="restart"/>
            <w:tcBorders>
              <w:top w:val="nil"/>
              <w:left w:val="single" w:sz="4" w:space="0" w:color="auto"/>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jc w:val="center"/>
              <w:rPr>
                <w:rFonts w:ascii="Calibri" w:eastAsia="Times New Roman" w:hAnsi="Calibri" w:cs="Times New Roman"/>
                <w:color w:val="000000"/>
              </w:rPr>
            </w:pPr>
            <w:r w:rsidRPr="00234B43">
              <w:rPr>
                <w:rFonts w:ascii="Calibri" w:eastAsia="Times New Roman" w:hAnsi="Calibri" w:cs="Times New Roman"/>
                <w:color w:val="000000"/>
              </w:rPr>
              <w:t>A.</w:t>
            </w:r>
            <w:r w:rsidRPr="00234B43">
              <w:rPr>
                <w:rFonts w:ascii="Times New Roman" w:eastAsia="Times New Roman" w:hAnsi="Times New Roman" w:cs="Times New Roman"/>
                <w:color w:val="000000"/>
              </w:rPr>
              <w:t xml:space="preserve">     </w:t>
            </w:r>
            <w:r w:rsidRPr="00234B43">
              <w:rPr>
                <w:rFonts w:ascii="Calibri" w:eastAsia="Times New Roman" w:hAnsi="Calibri" w:cs="Times New Roman"/>
                <w:color w:val="000000"/>
              </w:rPr>
              <w:t>By 2012 the Caribbean Biodiversity Fund will be established*, functional*, initially capitalized*, and invested.</w:t>
            </w:r>
          </w:p>
        </w:tc>
        <w:tc>
          <w:tcPr>
            <w:tcW w:w="1362" w:type="pct"/>
            <w:tcBorders>
              <w:top w:val="nil"/>
              <w:left w:val="nil"/>
              <w:bottom w:val="single" w:sz="4" w:space="0" w:color="auto"/>
              <w:right w:val="single" w:sz="4" w:space="0" w:color="auto"/>
            </w:tcBorders>
            <w:shd w:val="clear" w:color="000000" w:fill="EAF1DD"/>
            <w:vAlign w:val="bottom"/>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A1. CBF established as a tax exempt charity located somewhere (UK or other)</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Ropes &amp; Gray (pro bono legal firm), Regional Sustainable Finance Advisor</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One time</w:t>
            </w:r>
          </w:p>
        </w:tc>
        <w:tc>
          <w:tcPr>
            <w:tcW w:w="754"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Countries, Caribbean board &amp; staff, donors</w:t>
            </w:r>
          </w:p>
        </w:tc>
        <w:tc>
          <w:tcPr>
            <w:tcW w:w="983"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Agreement by TNC &amp; KfW to file papers</w:t>
            </w:r>
          </w:p>
        </w:tc>
      </w:tr>
      <w:tr w:rsidR="00340FD8" w:rsidRPr="00234B43" w:rsidTr="00340FD8">
        <w:trPr>
          <w:trHeight w:val="900"/>
        </w:trPr>
        <w:tc>
          <w:tcPr>
            <w:tcW w:w="679" w:type="pct"/>
            <w:vMerge/>
            <w:tcBorders>
              <w:top w:val="nil"/>
              <w:left w:val="single" w:sz="4" w:space="0" w:color="auto"/>
              <w:bottom w:val="single" w:sz="4" w:space="0" w:color="auto"/>
              <w:right w:val="single" w:sz="4" w:space="0" w:color="auto"/>
            </w:tcBorders>
            <w:vAlign w:val="center"/>
            <w:hideMark/>
          </w:tcPr>
          <w:p w:rsidR="00340FD8" w:rsidRPr="00234B43" w:rsidRDefault="00340FD8" w:rsidP="00340FD8">
            <w:pPr>
              <w:spacing w:after="0" w:line="240" w:lineRule="auto"/>
              <w:rPr>
                <w:rFonts w:ascii="Calibri" w:eastAsia="Times New Roman" w:hAnsi="Calibri" w:cs="Times New Roman"/>
                <w:color w:val="000000"/>
              </w:rPr>
            </w:pPr>
          </w:p>
        </w:tc>
        <w:tc>
          <w:tcPr>
            <w:tcW w:w="1362" w:type="pct"/>
            <w:tcBorders>
              <w:top w:val="nil"/>
              <w:left w:val="nil"/>
              <w:bottom w:val="single" w:sz="4" w:space="0" w:color="auto"/>
              <w:right w:val="single" w:sz="4" w:space="0" w:color="auto"/>
            </w:tcBorders>
            <w:shd w:val="clear" w:color="000000" w:fill="EAF1DD"/>
            <w:vAlign w:val="bottom"/>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A2. CBF Functional: Acting Executive Director named and financial services firm hired in an open &amp; transparent process per Conservation Trust Fund best practices</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CBF Board, Acting ED</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One time</w:t>
            </w:r>
          </w:p>
        </w:tc>
        <w:tc>
          <w:tcPr>
            <w:tcW w:w="754"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Countries, Caribbean board &amp; staff, donors</w:t>
            </w:r>
          </w:p>
        </w:tc>
        <w:tc>
          <w:tcPr>
            <w:tcW w:w="983"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CBF established as a tax exempt charity</w:t>
            </w:r>
          </w:p>
        </w:tc>
      </w:tr>
      <w:tr w:rsidR="00340FD8" w:rsidRPr="00234B43" w:rsidTr="00340FD8">
        <w:trPr>
          <w:trHeight w:val="1800"/>
        </w:trPr>
        <w:tc>
          <w:tcPr>
            <w:tcW w:w="679" w:type="pct"/>
            <w:vMerge/>
            <w:tcBorders>
              <w:top w:val="nil"/>
              <w:left w:val="single" w:sz="4" w:space="0" w:color="auto"/>
              <w:bottom w:val="single" w:sz="4" w:space="0" w:color="auto"/>
              <w:right w:val="single" w:sz="4" w:space="0" w:color="auto"/>
            </w:tcBorders>
            <w:vAlign w:val="center"/>
            <w:hideMark/>
          </w:tcPr>
          <w:p w:rsidR="00340FD8" w:rsidRPr="00234B43" w:rsidRDefault="00340FD8" w:rsidP="00340FD8">
            <w:pPr>
              <w:spacing w:after="0" w:line="240" w:lineRule="auto"/>
              <w:rPr>
                <w:rFonts w:ascii="Calibri" w:eastAsia="Times New Roman" w:hAnsi="Calibri" w:cs="Times New Roman"/>
                <w:color w:val="000000"/>
              </w:rPr>
            </w:pPr>
          </w:p>
        </w:tc>
        <w:tc>
          <w:tcPr>
            <w:tcW w:w="1362" w:type="pct"/>
            <w:tcBorders>
              <w:top w:val="nil"/>
              <w:left w:val="nil"/>
              <w:bottom w:val="single" w:sz="4" w:space="0" w:color="auto"/>
              <w:right w:val="single" w:sz="4" w:space="0" w:color="auto"/>
            </w:tcBorders>
            <w:shd w:val="clear" w:color="000000" w:fill="EAF1DD"/>
            <w:vAlign w:val="bottom"/>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A3. CBF initially capitalized: at least 50% of the KfW funds have been transferred and invested via an investment manager hired in a transparent and open process per CTF best practices</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KfW, CBF Board, Acting ED</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One time</w:t>
            </w:r>
          </w:p>
        </w:tc>
        <w:tc>
          <w:tcPr>
            <w:tcW w:w="754"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Countries, Caribbean board &amp; staff, donors</w:t>
            </w:r>
          </w:p>
        </w:tc>
        <w:tc>
          <w:tcPr>
            <w:tcW w:w="983"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CBF established as a tax exempt charity</w:t>
            </w:r>
          </w:p>
        </w:tc>
      </w:tr>
      <w:tr w:rsidR="00340FD8" w:rsidRPr="00234B43" w:rsidTr="00340FD8">
        <w:trPr>
          <w:trHeight w:val="1665"/>
        </w:trPr>
        <w:tc>
          <w:tcPr>
            <w:tcW w:w="679" w:type="pct"/>
            <w:vMerge/>
            <w:tcBorders>
              <w:top w:val="nil"/>
              <w:left w:val="single" w:sz="4" w:space="0" w:color="auto"/>
              <w:bottom w:val="single" w:sz="4" w:space="0" w:color="auto"/>
              <w:right w:val="single" w:sz="4" w:space="0" w:color="auto"/>
            </w:tcBorders>
            <w:vAlign w:val="center"/>
            <w:hideMark/>
          </w:tcPr>
          <w:p w:rsidR="00340FD8" w:rsidRPr="00234B43" w:rsidRDefault="00340FD8" w:rsidP="00340FD8">
            <w:pPr>
              <w:spacing w:after="0" w:line="240" w:lineRule="auto"/>
              <w:rPr>
                <w:rFonts w:ascii="Calibri" w:eastAsia="Times New Roman" w:hAnsi="Calibri" w:cs="Times New Roman"/>
                <w:color w:val="000000"/>
              </w:rPr>
            </w:pPr>
          </w:p>
        </w:tc>
        <w:tc>
          <w:tcPr>
            <w:tcW w:w="1362"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A4. CBF perceived as legitimate by key stakeholders according to the established standards</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TBD</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w:t>
            </w:r>
          </w:p>
        </w:tc>
        <w:tc>
          <w:tcPr>
            <w:tcW w:w="754"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donors, countries in Challenge, potential donors, potential countries</w:t>
            </w:r>
          </w:p>
        </w:tc>
        <w:tc>
          <w:tcPr>
            <w:tcW w:w="983"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w:t>
            </w:r>
          </w:p>
        </w:tc>
      </w:tr>
      <w:tr w:rsidR="00340FD8" w:rsidRPr="00234B43" w:rsidTr="00340FD8">
        <w:trPr>
          <w:trHeight w:val="1800"/>
        </w:trPr>
        <w:tc>
          <w:tcPr>
            <w:tcW w:w="679" w:type="pct"/>
            <w:vMerge w:val="restart"/>
            <w:tcBorders>
              <w:top w:val="nil"/>
              <w:left w:val="single" w:sz="4" w:space="0" w:color="auto"/>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jc w:val="center"/>
              <w:rPr>
                <w:rFonts w:ascii="Calibri" w:eastAsia="Times New Roman" w:hAnsi="Calibri" w:cs="Times New Roman"/>
                <w:color w:val="000000"/>
              </w:rPr>
            </w:pPr>
            <w:r w:rsidRPr="00234B43">
              <w:rPr>
                <w:rFonts w:ascii="Calibri" w:eastAsia="Times New Roman" w:hAnsi="Calibri" w:cs="Times New Roman"/>
                <w:color w:val="000000"/>
              </w:rPr>
              <w:t>B. By 2015 at least 6 NPATFs are operational* perceived as legitimate and meet all requirements of their vertical agreement* to receive CBF incentive funds.</w:t>
            </w:r>
          </w:p>
        </w:tc>
        <w:tc>
          <w:tcPr>
            <w:tcW w:w="1362"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B1. operational – Non-</w:t>
            </w:r>
            <w:r w:rsidR="005E76BA" w:rsidRPr="00234B43">
              <w:rPr>
                <w:rFonts w:ascii="Calibri" w:eastAsia="Times New Roman" w:hAnsi="Calibri" w:cs="Times New Roman"/>
                <w:color w:val="000000"/>
              </w:rPr>
              <w:t>gov</w:t>
            </w:r>
            <w:r w:rsidR="005E76BA">
              <w:rPr>
                <w:rFonts w:ascii="Calibri" w:eastAsia="Times New Roman" w:hAnsi="Calibri" w:cs="Times New Roman"/>
                <w:color w:val="000000"/>
              </w:rPr>
              <w:t>ernmen</w:t>
            </w:r>
            <w:r w:rsidR="005E76BA" w:rsidRPr="00234B43">
              <w:rPr>
                <w:rFonts w:ascii="Calibri" w:eastAsia="Times New Roman" w:hAnsi="Calibri" w:cs="Times New Roman"/>
                <w:color w:val="000000"/>
              </w:rPr>
              <w:t>t</w:t>
            </w:r>
            <w:r w:rsidRPr="00234B43">
              <w:rPr>
                <w:rFonts w:ascii="Calibri" w:eastAsia="Times New Roman" w:hAnsi="Calibri" w:cs="Times New Roman"/>
                <w:color w:val="000000"/>
              </w:rPr>
              <w:t xml:space="preserve"> majority board established and officers elected; administrative capacity in place; open and transparent process for grant making established - all per CTF best practices, etc.</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Ropes &amp; Gray (pro bono legal firm), Regional Sustainable Finance Advisor, Country Reps and/or GR staff</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Annual Report</w:t>
            </w:r>
          </w:p>
        </w:tc>
        <w:tc>
          <w:tcPr>
            <w:tcW w:w="754"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Caribbean board &amp; staff, donors</w:t>
            </w:r>
          </w:p>
        </w:tc>
        <w:tc>
          <w:tcPr>
            <w:tcW w:w="983"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NPATF legislation passed in each country</w:t>
            </w:r>
          </w:p>
        </w:tc>
      </w:tr>
      <w:tr w:rsidR="00340FD8" w:rsidRPr="00234B43" w:rsidTr="00340FD8">
        <w:trPr>
          <w:trHeight w:val="1500"/>
        </w:trPr>
        <w:tc>
          <w:tcPr>
            <w:tcW w:w="679" w:type="pct"/>
            <w:vMerge/>
            <w:tcBorders>
              <w:top w:val="nil"/>
              <w:left w:val="single" w:sz="4" w:space="0" w:color="auto"/>
              <w:bottom w:val="single" w:sz="4" w:space="0" w:color="auto"/>
              <w:right w:val="single" w:sz="4" w:space="0" w:color="auto"/>
            </w:tcBorders>
            <w:vAlign w:val="center"/>
            <w:hideMark/>
          </w:tcPr>
          <w:p w:rsidR="00340FD8" w:rsidRPr="00234B43" w:rsidRDefault="00340FD8" w:rsidP="00340FD8">
            <w:pPr>
              <w:spacing w:after="0" w:line="240" w:lineRule="auto"/>
              <w:rPr>
                <w:rFonts w:ascii="Calibri" w:eastAsia="Times New Roman" w:hAnsi="Calibri" w:cs="Times New Roman"/>
                <w:color w:val="000000"/>
              </w:rPr>
            </w:pPr>
          </w:p>
        </w:tc>
        <w:tc>
          <w:tcPr>
            <w:tcW w:w="1362"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B2. vertical agreements between the CBF and NPATFs established</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Ropes &amp; Gray (pro bono legal firm), Regional Sustainable Finance Advisor, Country Reps and/or GR staff</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Annual Report</w:t>
            </w:r>
          </w:p>
        </w:tc>
        <w:tc>
          <w:tcPr>
            <w:tcW w:w="754"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Caribbean board &amp; staff, donors</w:t>
            </w:r>
          </w:p>
        </w:tc>
        <w:tc>
          <w:tcPr>
            <w:tcW w:w="983"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only 2 NPATFs operational by 2013</w:t>
            </w:r>
          </w:p>
        </w:tc>
      </w:tr>
      <w:tr w:rsidR="00340FD8" w:rsidRPr="00234B43" w:rsidTr="00340FD8">
        <w:trPr>
          <w:trHeight w:val="840"/>
        </w:trPr>
        <w:tc>
          <w:tcPr>
            <w:tcW w:w="679" w:type="pct"/>
            <w:vMerge/>
            <w:tcBorders>
              <w:top w:val="nil"/>
              <w:left w:val="single" w:sz="4" w:space="0" w:color="auto"/>
              <w:bottom w:val="single" w:sz="4" w:space="0" w:color="auto"/>
              <w:right w:val="single" w:sz="4" w:space="0" w:color="auto"/>
            </w:tcBorders>
            <w:vAlign w:val="center"/>
            <w:hideMark/>
          </w:tcPr>
          <w:p w:rsidR="00340FD8" w:rsidRPr="00234B43" w:rsidRDefault="00340FD8" w:rsidP="00340FD8">
            <w:pPr>
              <w:spacing w:after="0" w:line="240" w:lineRule="auto"/>
              <w:rPr>
                <w:rFonts w:ascii="Calibri" w:eastAsia="Times New Roman" w:hAnsi="Calibri" w:cs="Times New Roman"/>
                <w:color w:val="000000"/>
              </w:rPr>
            </w:pPr>
          </w:p>
        </w:tc>
        <w:tc>
          <w:tcPr>
            <w:tcW w:w="1362" w:type="pct"/>
            <w:tcBorders>
              <w:top w:val="nil"/>
              <w:left w:val="nil"/>
              <w:bottom w:val="single" w:sz="4" w:space="0" w:color="auto"/>
              <w:right w:val="single" w:sz="4" w:space="0" w:color="auto"/>
            </w:tcBorders>
            <w:shd w:val="clear" w:color="000000" w:fill="EAF1DD"/>
            <w:vAlign w:val="center"/>
            <w:hideMark/>
          </w:tcPr>
          <w:p w:rsidR="00340FD8" w:rsidRPr="00234B43" w:rsidRDefault="006133B7" w:rsidP="00340FD8">
            <w:pPr>
              <w:spacing w:after="0" w:line="240" w:lineRule="auto"/>
              <w:rPr>
                <w:rFonts w:ascii="Calibri" w:eastAsia="Times New Roman" w:hAnsi="Calibri" w:cs="Times New Roman"/>
                <w:color w:val="000000"/>
              </w:rPr>
            </w:pPr>
            <w:r>
              <w:rPr>
                <w:rFonts w:ascii="Calibri" w:eastAsia="Times New Roman" w:hAnsi="Calibri" w:cs="Times New Roman"/>
                <w:color w:val="000000"/>
              </w:rPr>
              <w:t>(Perception of</w:t>
            </w:r>
            <w:r w:rsidRPr="00234B43">
              <w:rPr>
                <w:rFonts w:ascii="Calibri" w:eastAsia="Times New Roman" w:hAnsi="Calibri" w:cs="Times New Roman"/>
                <w:color w:val="000000"/>
              </w:rPr>
              <w:t xml:space="preserve"> ) </w:t>
            </w:r>
            <w:r w:rsidR="00340FD8" w:rsidRPr="00234B43">
              <w:rPr>
                <w:rFonts w:ascii="Calibri" w:eastAsia="Times New Roman" w:hAnsi="Calibri" w:cs="Times New Roman"/>
                <w:color w:val="000000"/>
              </w:rPr>
              <w:t>legitimacy of the NPATF according to the established standards</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TBD</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Annual Report</w:t>
            </w:r>
          </w:p>
        </w:tc>
        <w:tc>
          <w:tcPr>
            <w:tcW w:w="754"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Caribbean board &amp; staff, donors</w:t>
            </w:r>
          </w:p>
        </w:tc>
        <w:tc>
          <w:tcPr>
            <w:tcW w:w="983"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w:t>
            </w:r>
          </w:p>
        </w:tc>
      </w:tr>
      <w:tr w:rsidR="00340FD8" w:rsidRPr="00234B43" w:rsidTr="00340FD8">
        <w:trPr>
          <w:trHeight w:val="1500"/>
        </w:trPr>
        <w:tc>
          <w:tcPr>
            <w:tcW w:w="679" w:type="pct"/>
            <w:tcBorders>
              <w:top w:val="nil"/>
              <w:left w:val="single" w:sz="4" w:space="0" w:color="auto"/>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xml:space="preserve">C.  By 2020 NPATF funds activities which improve RAPPAM/METT scores for PA systems in 6 </w:t>
            </w:r>
            <w:r w:rsidRPr="00234B43">
              <w:rPr>
                <w:rFonts w:ascii="Calibri" w:eastAsia="Times New Roman" w:hAnsi="Calibri" w:cs="Times New Roman"/>
                <w:color w:val="000000"/>
              </w:rPr>
              <w:lastRenderedPageBreak/>
              <w:t>countries to meet minimum threshold score (TBD)</w:t>
            </w:r>
          </w:p>
        </w:tc>
        <w:tc>
          <w:tcPr>
            <w:tcW w:w="1362"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lastRenderedPageBreak/>
              <w:t>C1. RAPPAM/METT scores and money spent</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w:t>
            </w:r>
          </w:p>
        </w:tc>
        <w:tc>
          <w:tcPr>
            <w:tcW w:w="754" w:type="pct"/>
            <w:tcBorders>
              <w:top w:val="nil"/>
              <w:left w:val="nil"/>
              <w:bottom w:val="single" w:sz="4" w:space="0" w:color="auto"/>
              <w:right w:val="single" w:sz="4" w:space="0" w:color="auto"/>
            </w:tcBorders>
            <w:shd w:val="clear" w:color="000000" w:fill="EAF1DD"/>
            <w:noWrap/>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w:t>
            </w:r>
          </w:p>
        </w:tc>
        <w:tc>
          <w:tcPr>
            <w:tcW w:w="983"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w:t>
            </w:r>
          </w:p>
        </w:tc>
      </w:tr>
      <w:tr w:rsidR="00340FD8" w:rsidRPr="00234B43" w:rsidTr="00340FD8">
        <w:trPr>
          <w:trHeight w:val="2640"/>
        </w:trPr>
        <w:tc>
          <w:tcPr>
            <w:tcW w:w="679" w:type="pct"/>
            <w:tcBorders>
              <w:top w:val="nil"/>
              <w:left w:val="single" w:sz="4" w:space="0" w:color="auto"/>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lastRenderedPageBreak/>
              <w:t>D.  By 2020</w:t>
            </w:r>
            <w:r w:rsidR="00861771">
              <w:rPr>
                <w:rFonts w:ascii="Calibri" w:eastAsia="Times New Roman" w:hAnsi="Calibri" w:cs="Times New Roman"/>
                <w:color w:val="000000"/>
              </w:rPr>
              <w:t>,</w:t>
            </w:r>
            <w:r w:rsidRPr="00234B43">
              <w:rPr>
                <w:rFonts w:ascii="Calibri" w:eastAsia="Times New Roman" w:hAnsi="Calibri" w:cs="Times New Roman"/>
                <w:color w:val="000000"/>
              </w:rPr>
              <w:t xml:space="preserve"> 50% (approx $16 million per year*) of annual funding gap for conservation in Protected Areas closed in 6 countries.</w:t>
            </w:r>
          </w:p>
        </w:tc>
        <w:tc>
          <w:tcPr>
            <w:tcW w:w="1362"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D1. % reduction in funding gap for PAs per country based on financial scorecard for each GEF FSP, ( or mechanisms for non-GEF countries TBD)</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financial and policy advisor at OU level</w:t>
            </w:r>
          </w:p>
        </w:tc>
        <w:tc>
          <w:tcPr>
            <w:tcW w:w="611" w:type="pct"/>
            <w:tcBorders>
              <w:top w:val="nil"/>
              <w:left w:val="nil"/>
              <w:bottom w:val="single" w:sz="4" w:space="0" w:color="auto"/>
              <w:right w:val="single" w:sz="4" w:space="0" w:color="auto"/>
            </w:tcBorders>
            <w:shd w:val="clear" w:color="000000" w:fill="EAF1DD"/>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at end of GEF FSP and then every 2 years</w:t>
            </w:r>
          </w:p>
        </w:tc>
        <w:tc>
          <w:tcPr>
            <w:tcW w:w="754" w:type="pct"/>
            <w:tcBorders>
              <w:top w:val="nil"/>
              <w:left w:val="nil"/>
              <w:bottom w:val="single" w:sz="4" w:space="0" w:color="auto"/>
              <w:right w:val="single" w:sz="4" w:space="0" w:color="auto"/>
            </w:tcBorders>
            <w:shd w:val="clear" w:color="000000" w:fill="EAF1DD"/>
            <w:noWrap/>
            <w:vAlign w:val="center"/>
            <w:hideMark/>
          </w:tcPr>
          <w:p w:rsidR="00340FD8" w:rsidRPr="00234B43" w:rsidRDefault="00340FD8"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xml:space="preserve">CBF Board, NPATFs, </w:t>
            </w:r>
          </w:p>
        </w:tc>
        <w:tc>
          <w:tcPr>
            <w:tcW w:w="983" w:type="pct"/>
            <w:tcBorders>
              <w:top w:val="nil"/>
              <w:left w:val="nil"/>
              <w:bottom w:val="single" w:sz="4" w:space="0" w:color="auto"/>
              <w:right w:val="single" w:sz="4" w:space="0" w:color="auto"/>
            </w:tcBorders>
            <w:shd w:val="clear" w:color="000000" w:fill="EAF1DD"/>
            <w:vAlign w:val="center"/>
            <w:hideMark/>
          </w:tcPr>
          <w:p w:rsidR="00340FD8" w:rsidRPr="00234B43" w:rsidRDefault="006133B7" w:rsidP="00340FD8">
            <w:pPr>
              <w:spacing w:after="0" w:line="240" w:lineRule="auto"/>
              <w:rPr>
                <w:rFonts w:ascii="Calibri" w:eastAsia="Times New Roman" w:hAnsi="Calibri" w:cs="Times New Roman"/>
                <w:color w:val="000000"/>
              </w:rPr>
            </w:pPr>
            <w:r w:rsidRPr="00234B43">
              <w:rPr>
                <w:rFonts w:ascii="Calibri" w:eastAsia="Times New Roman" w:hAnsi="Calibri" w:cs="Times New Roman"/>
                <w:color w:val="000000"/>
              </w:rPr>
              <w:t xml:space="preserve">Interim: if </w:t>
            </w:r>
            <w:r w:rsidRPr="002D792A">
              <w:rPr>
                <w:rFonts w:ascii="Calibri" w:eastAsia="Times New Roman" w:hAnsi="Calibri" w:cs="Times New Roman"/>
                <w:color w:val="000000"/>
              </w:rPr>
              <w:t>25%</w:t>
            </w:r>
            <w:r>
              <w:rPr>
                <w:rFonts w:ascii="Calibri" w:eastAsia="Times New Roman" w:hAnsi="Calibri" w:cs="Times New Roman"/>
                <w:color w:val="000000"/>
              </w:rPr>
              <w:t xml:space="preserve"> </w:t>
            </w:r>
            <w:r w:rsidRPr="00234B43">
              <w:rPr>
                <w:rFonts w:ascii="Calibri" w:eastAsia="Times New Roman" w:hAnsi="Calibri" w:cs="Times New Roman"/>
                <w:color w:val="000000"/>
              </w:rPr>
              <w:t>gap is not closed</w:t>
            </w:r>
            <w:r>
              <w:rPr>
                <w:rFonts w:ascii="Calibri" w:eastAsia="Times New Roman" w:hAnsi="Calibri" w:cs="Times New Roman"/>
                <w:color w:val="000000"/>
              </w:rPr>
              <w:t xml:space="preserve"> </w:t>
            </w:r>
            <w:r w:rsidRPr="00234B43">
              <w:rPr>
                <w:rFonts w:ascii="Calibri" w:eastAsia="Times New Roman" w:hAnsi="Calibri" w:cs="Times New Roman"/>
                <w:color w:val="000000"/>
              </w:rPr>
              <w:t xml:space="preserve">by 2015, we need to reassess the strategy.  </w:t>
            </w:r>
            <w:r w:rsidR="00340FD8" w:rsidRPr="00234B43">
              <w:rPr>
                <w:rFonts w:ascii="Calibri" w:eastAsia="Times New Roman" w:hAnsi="Calibri" w:cs="Times New Roman"/>
                <w:color w:val="000000"/>
              </w:rPr>
              <w:t>Recalibrate new baseline beyond 2020 based on expanded PA network.</w:t>
            </w:r>
          </w:p>
        </w:tc>
      </w:tr>
    </w:tbl>
    <w:p w:rsidR="00340FD8" w:rsidRDefault="00340FD8" w:rsidP="00340FD8">
      <w:pPr>
        <w:rPr>
          <w:lang w:val="en-029"/>
        </w:rPr>
      </w:pPr>
    </w:p>
    <w:p w:rsidR="0009007D" w:rsidRPr="00234B43" w:rsidRDefault="0009007D" w:rsidP="0009007D">
      <w:pPr>
        <w:rPr>
          <w:lang w:val="en-029"/>
        </w:rPr>
      </w:pPr>
      <w:r>
        <w:rPr>
          <w:lang w:val="en-029"/>
        </w:rPr>
        <w:t xml:space="preserve">N.B. </w:t>
      </w:r>
      <w:r w:rsidRPr="00234B43">
        <w:rPr>
          <w:lang w:val="en-029"/>
        </w:rPr>
        <w:t xml:space="preserve">There are currently eight sovereign states participating </w:t>
      </w:r>
      <w:r>
        <w:rPr>
          <w:lang w:val="en-029"/>
        </w:rPr>
        <w:t xml:space="preserve">in the Caribbean Challenge: </w:t>
      </w:r>
      <w:r w:rsidRPr="00917B65">
        <w:rPr>
          <w:rFonts w:ascii="Calibri" w:hAnsi="Calibri"/>
          <w:lang w:val="en-029"/>
        </w:rPr>
        <w:t>The Bahamas, The Dominican Republic, Jamaica, Antigua &amp; Barbuda, Grenada, St. Lucia, St. Kitts &amp; Nevis, and St. Vincent and the Grenadines</w:t>
      </w:r>
      <w:r>
        <w:rPr>
          <w:rFonts w:ascii="Calibri" w:hAnsi="Calibri"/>
          <w:lang w:val="en-029"/>
        </w:rPr>
        <w:t>. The Conservancy is also working with the overseas territories of the US (Puerto Rico and the US Virgin Islands) and UK (Cayman Islands and the British Virgin Islands) to achieve the Challenges goals within their political and fiscal framework.</w:t>
      </w:r>
    </w:p>
    <w:p w:rsidR="00397553" w:rsidRDefault="00397553">
      <w:pPr>
        <w:rPr>
          <w:b/>
          <w:lang w:val="en-029"/>
        </w:rPr>
      </w:pPr>
      <w:r>
        <w:rPr>
          <w:b/>
          <w:lang w:val="en-029"/>
        </w:rPr>
        <w:br w:type="page"/>
      </w:r>
    </w:p>
    <w:p w:rsidR="00234B43" w:rsidRDefault="00397553" w:rsidP="002D5408">
      <w:pPr>
        <w:pStyle w:val="Heading1"/>
        <w:rPr>
          <w:lang w:val="en-029"/>
        </w:rPr>
      </w:pPr>
      <w:bookmarkStart w:id="21" w:name="_Toc295219030"/>
      <w:r>
        <w:rPr>
          <w:lang w:val="en-029"/>
        </w:rPr>
        <w:lastRenderedPageBreak/>
        <w:t>Appendix II</w:t>
      </w:r>
      <w:r w:rsidR="002D5408">
        <w:rPr>
          <w:lang w:val="en-029"/>
        </w:rPr>
        <w:t xml:space="preserve">: </w:t>
      </w:r>
      <w:r w:rsidR="00F9702A">
        <w:rPr>
          <w:lang w:val="en-029"/>
        </w:rPr>
        <w:t xml:space="preserve">Caribbean Challenge Initiative </w:t>
      </w:r>
      <w:r w:rsidR="0009007D">
        <w:rPr>
          <w:lang w:val="en-029"/>
        </w:rPr>
        <w:t>implementation in the Dominican Republic</w:t>
      </w:r>
      <w:bookmarkEnd w:id="21"/>
    </w:p>
    <w:p w:rsidR="002D5408" w:rsidRDefault="002D5408">
      <w:pPr>
        <w:rPr>
          <w:lang w:val="en-029"/>
        </w:rPr>
      </w:pPr>
    </w:p>
    <w:p w:rsidR="00397553" w:rsidRPr="0009007D" w:rsidRDefault="00397553" w:rsidP="0009007D">
      <w:pPr>
        <w:pStyle w:val="Heading2"/>
        <w:rPr>
          <w:lang w:val="en-029"/>
        </w:rPr>
      </w:pPr>
      <w:bookmarkStart w:id="22" w:name="_Toc295219031"/>
      <w:r w:rsidRPr="0009007D">
        <w:rPr>
          <w:lang w:val="en-029"/>
        </w:rPr>
        <w:t>Sustainable Financing of Protected Areas</w:t>
      </w:r>
      <w:bookmarkEnd w:id="22"/>
    </w:p>
    <w:p w:rsidR="00397553" w:rsidRPr="00360A9A" w:rsidRDefault="00397553" w:rsidP="00397553">
      <w:pPr>
        <w:rPr>
          <w:b/>
        </w:rPr>
      </w:pPr>
      <w:r w:rsidRPr="00D2570C">
        <w:t xml:space="preserve">Strategy summary: </w:t>
      </w:r>
      <w:r w:rsidRPr="00360A9A">
        <w:rPr>
          <w:i/>
        </w:rPr>
        <w:t xml:space="preserve">This </w:t>
      </w:r>
      <w:r>
        <w:rPr>
          <w:i/>
        </w:rPr>
        <w:t xml:space="preserve">strategy </w:t>
      </w:r>
      <w:r w:rsidRPr="00360A9A">
        <w:rPr>
          <w:i/>
        </w:rPr>
        <w:t>includes the development of a National Protected Areas Trust Fund (NPATF)</w:t>
      </w:r>
      <w:r>
        <w:rPr>
          <w:i/>
        </w:rPr>
        <w:t>,</w:t>
      </w:r>
      <w:r w:rsidRPr="00360A9A">
        <w:rPr>
          <w:i/>
        </w:rPr>
        <w:t xml:space="preserve"> aligned with donor requirements, within FondoMarena, which will receive proceeds </w:t>
      </w:r>
      <w:r w:rsidR="00BE0AC3">
        <w:rPr>
          <w:i/>
        </w:rPr>
        <w:t>from</w:t>
      </w:r>
      <w:r w:rsidR="00BE0AC3" w:rsidRPr="00360A9A">
        <w:rPr>
          <w:i/>
        </w:rPr>
        <w:t xml:space="preserve"> </w:t>
      </w:r>
      <w:r w:rsidRPr="00360A9A">
        <w:rPr>
          <w:i/>
        </w:rPr>
        <w:t xml:space="preserve">the regional Caribbean Biodiversity Fund (CBF), combined with yields from new </w:t>
      </w:r>
      <w:r>
        <w:rPr>
          <w:i/>
        </w:rPr>
        <w:t xml:space="preserve">local </w:t>
      </w:r>
      <w:r w:rsidRPr="00360A9A">
        <w:rPr>
          <w:i/>
        </w:rPr>
        <w:t>conservation finance mechanisms (</w:t>
      </w:r>
      <w:r w:rsidRPr="00360A9A">
        <w:rPr>
          <w:bCs/>
          <w:i/>
        </w:rPr>
        <w:t>such as conservation fees, tourism fees, water funds, payment for environmental services, debt swaps)</w:t>
      </w:r>
      <w:r>
        <w:rPr>
          <w:bCs/>
          <w:i/>
        </w:rPr>
        <w:t xml:space="preserve"> and supported by</w:t>
      </w:r>
      <w:r w:rsidRPr="00992441">
        <w:rPr>
          <w:bCs/>
          <w:i/>
        </w:rPr>
        <w:t xml:space="preserve"> </w:t>
      </w:r>
      <w:r w:rsidRPr="00360A9A">
        <w:rPr>
          <w:bCs/>
          <w:i/>
        </w:rPr>
        <w:t xml:space="preserve">economic valuation </w:t>
      </w:r>
      <w:r>
        <w:rPr>
          <w:bCs/>
          <w:i/>
        </w:rPr>
        <w:t xml:space="preserve">studies </w:t>
      </w:r>
      <w:r w:rsidRPr="00360A9A">
        <w:rPr>
          <w:i/>
        </w:rPr>
        <w:t>to fund the protected area</w:t>
      </w:r>
      <w:r>
        <w:rPr>
          <w:i/>
        </w:rPr>
        <w:t xml:space="preserve"> system</w:t>
      </w:r>
      <w:r w:rsidRPr="00360A9A">
        <w:rPr>
          <w:i/>
        </w:rPr>
        <w:t>.</w:t>
      </w:r>
    </w:p>
    <w:p w:rsidR="00397553" w:rsidRPr="00CE7033" w:rsidRDefault="00397553" w:rsidP="00397553">
      <w:r>
        <w:t>Apart from regional activities</w:t>
      </w:r>
      <w:r w:rsidR="00861771">
        <w:t>,</w:t>
      </w:r>
      <w:r>
        <w:t xml:space="preserve"> the </w:t>
      </w:r>
      <w:r w:rsidR="00F9702A">
        <w:t xml:space="preserve">Caribbean Challenge Initiative </w:t>
      </w:r>
      <w:r>
        <w:t xml:space="preserve">in the Dominican Republic </w:t>
      </w:r>
      <w:r w:rsidRPr="00CE7033">
        <w:t xml:space="preserve">is supported by the </w:t>
      </w:r>
      <w:r>
        <w:t xml:space="preserve">local </w:t>
      </w:r>
      <w:r w:rsidRPr="00CE7033">
        <w:t xml:space="preserve">development of new sustainable finance mechanisms for financing protected area management. The following novel tools will be considered by the DR following recommendations from the </w:t>
      </w:r>
      <w:r>
        <w:t>November 2010</w:t>
      </w:r>
      <w:r w:rsidRPr="00CE7033">
        <w:t xml:space="preserve"> Summit on Finance Mechanisms for Protected Areas: </w:t>
      </w:r>
    </w:p>
    <w:p w:rsidR="00397553" w:rsidRDefault="00397553" w:rsidP="00397553">
      <w:pPr>
        <w:pStyle w:val="ListParagraph"/>
        <w:numPr>
          <w:ilvl w:val="0"/>
          <w:numId w:val="18"/>
        </w:numPr>
        <w:spacing w:after="240" w:line="240" w:lineRule="auto"/>
        <w:ind w:right="864"/>
      </w:pPr>
      <w:r w:rsidRPr="00DC1900">
        <w:t xml:space="preserve">Develop a methodology for allocating compensation for loss of biodiversity </w:t>
      </w:r>
      <w:r>
        <w:t xml:space="preserve">as a result of development </w:t>
      </w:r>
      <w:r w:rsidRPr="00DC1900">
        <w:t>in terrestrial ecosystems, that  will indicate what to compensate and how much to compensate</w:t>
      </w:r>
    </w:p>
    <w:p w:rsidR="00397553" w:rsidRDefault="00397553" w:rsidP="00397553">
      <w:pPr>
        <w:pStyle w:val="ListParagraph"/>
        <w:numPr>
          <w:ilvl w:val="0"/>
          <w:numId w:val="18"/>
        </w:numPr>
        <w:spacing w:after="240" w:line="240" w:lineRule="auto"/>
        <w:ind w:right="864"/>
      </w:pPr>
      <w:r w:rsidRPr="00DC1900">
        <w:t xml:space="preserve">Park fees paid by persons who physically use the park for an activity, entities that use the park for commercial purposes as well as the ones who have  structures in the park </w:t>
      </w:r>
    </w:p>
    <w:p w:rsidR="00397553" w:rsidRDefault="00397553" w:rsidP="00397553">
      <w:pPr>
        <w:pStyle w:val="ListParagraph"/>
        <w:numPr>
          <w:ilvl w:val="0"/>
          <w:numId w:val="18"/>
        </w:numPr>
        <w:spacing w:after="240" w:line="240" w:lineRule="auto"/>
        <w:ind w:right="864"/>
      </w:pPr>
      <w:r w:rsidRPr="00DC1900">
        <w:t xml:space="preserve">A whale watching industry has grown due to approximately 3,000 humpback whales that arrive at the Dominican Republic’s Silver Bank to breed, give birth, nurse their young and prepare for the spring migration. Generate new sources of funding by </w:t>
      </w:r>
      <w:r>
        <w:t xml:space="preserve">further diversification such as </w:t>
      </w:r>
      <w:r w:rsidRPr="00DC1900">
        <w:t>increasing entrance fees, nesting turtle observation, dolphin sightseeing, and kayaking and cultural traits development.</w:t>
      </w:r>
    </w:p>
    <w:p w:rsidR="00397553" w:rsidRDefault="00397553" w:rsidP="00397553">
      <w:pPr>
        <w:pStyle w:val="ListParagraph"/>
        <w:numPr>
          <w:ilvl w:val="0"/>
          <w:numId w:val="18"/>
        </w:numPr>
        <w:spacing w:after="240" w:line="240" w:lineRule="auto"/>
        <w:ind w:right="864"/>
      </w:pPr>
      <w:r w:rsidRPr="00DC1900">
        <w:t>Levying an additional airport departure fee that would be earmarked for the country’s new national protected areas trust fund</w:t>
      </w:r>
    </w:p>
    <w:p w:rsidR="00397553" w:rsidRDefault="00397553" w:rsidP="00397553">
      <w:pPr>
        <w:pStyle w:val="ListParagraph"/>
        <w:numPr>
          <w:ilvl w:val="0"/>
          <w:numId w:val="18"/>
        </w:numPr>
        <w:spacing w:after="240" w:line="240" w:lineRule="auto"/>
        <w:ind w:right="864"/>
      </w:pPr>
      <w:r w:rsidRPr="00DC1900">
        <w:t xml:space="preserve">Water fund from environmental water </w:t>
      </w:r>
      <w:r>
        <w:t xml:space="preserve">consumption </w:t>
      </w:r>
      <w:r w:rsidRPr="00DC1900">
        <w:t>fees incorporating the environmental cost associated with maintaining forest ecosystems.</w:t>
      </w:r>
    </w:p>
    <w:p w:rsidR="00397553" w:rsidRDefault="00397553" w:rsidP="00397553">
      <w:pPr>
        <w:pStyle w:val="ListParagraph"/>
        <w:numPr>
          <w:ilvl w:val="0"/>
          <w:numId w:val="18"/>
        </w:numPr>
        <w:spacing w:after="240" w:line="240" w:lineRule="auto"/>
        <w:ind w:right="864"/>
      </w:pPr>
      <w:r w:rsidRPr="00DC1900">
        <w:t xml:space="preserve">Debt swap by treating a portion of the country’s debt and engaging with an eligible third party (usually an international environmental NGO) that may offer to buy the loan in exchange for the country’s commitment to fund programs that support forest conservation and protection </w:t>
      </w:r>
    </w:p>
    <w:p w:rsidR="00397553" w:rsidRDefault="00397553" w:rsidP="00F060CA">
      <w:pPr>
        <w:outlineLvl w:val="0"/>
        <w:rPr>
          <w:b/>
        </w:rPr>
      </w:pPr>
    </w:p>
    <w:p w:rsidR="00397553" w:rsidRDefault="00397553" w:rsidP="00F060CA">
      <w:pPr>
        <w:outlineLvl w:val="0"/>
        <w:rPr>
          <w:b/>
        </w:rPr>
      </w:pPr>
    </w:p>
    <w:p w:rsidR="00F060CA" w:rsidRPr="00D2570C" w:rsidRDefault="00F060CA" w:rsidP="00BD362C">
      <w:pPr>
        <w:pStyle w:val="Heading2"/>
      </w:pPr>
      <w:bookmarkStart w:id="23" w:name="_Toc295219032"/>
      <w:r w:rsidRPr="00D2570C">
        <w:lastRenderedPageBreak/>
        <w:t>P</w:t>
      </w:r>
      <w:r>
        <w:t xml:space="preserve">rotected </w:t>
      </w:r>
      <w:r w:rsidRPr="00D2570C">
        <w:t>A</w:t>
      </w:r>
      <w:r>
        <w:t>rea</w:t>
      </w:r>
      <w:r w:rsidR="00861771">
        <w:t xml:space="preserve"> Management Effectiveness and the Improvement of Ecosystem Services</w:t>
      </w:r>
      <w:bookmarkEnd w:id="23"/>
    </w:p>
    <w:p w:rsidR="00F060CA" w:rsidRPr="00DA13CE" w:rsidRDefault="00F060CA" w:rsidP="00F060CA">
      <w:pPr>
        <w:spacing w:after="0"/>
        <w:rPr>
          <w:i/>
        </w:rPr>
      </w:pPr>
      <w:r w:rsidRPr="00D2570C">
        <w:t xml:space="preserve">Strategy summary: </w:t>
      </w:r>
      <w:r w:rsidRPr="003F00DE">
        <w:rPr>
          <w:i/>
        </w:rPr>
        <w:t xml:space="preserve">This strategy aims at the </w:t>
      </w:r>
      <w:r w:rsidR="00861771">
        <w:rPr>
          <w:i/>
        </w:rPr>
        <w:t xml:space="preserve">advancing </w:t>
      </w:r>
      <w:r w:rsidRPr="003F00DE">
        <w:rPr>
          <w:i/>
        </w:rPr>
        <w:t xml:space="preserve">management </w:t>
      </w:r>
      <w:r w:rsidR="00861771">
        <w:rPr>
          <w:i/>
        </w:rPr>
        <w:t>effectiveness for</w:t>
      </w:r>
      <w:r w:rsidRPr="003F00DE">
        <w:rPr>
          <w:i/>
        </w:rPr>
        <w:t xml:space="preserve"> at least 15 PAs</w:t>
      </w:r>
      <w:r>
        <w:rPr>
          <w:i/>
        </w:rPr>
        <w:t xml:space="preserve"> (representing</w:t>
      </w:r>
      <w:r w:rsidRPr="003F00DE">
        <w:rPr>
          <w:i/>
        </w:rPr>
        <w:t xml:space="preserve"> 40% of </w:t>
      </w:r>
      <w:r>
        <w:rPr>
          <w:i/>
        </w:rPr>
        <w:t xml:space="preserve">the </w:t>
      </w:r>
      <w:r w:rsidRPr="003F00DE">
        <w:rPr>
          <w:bCs/>
          <w:i/>
        </w:rPr>
        <w:t>National System of Protected Areas</w:t>
      </w:r>
      <w:r>
        <w:rPr>
          <w:bCs/>
          <w:i/>
        </w:rPr>
        <w:t>-</w:t>
      </w:r>
      <w:r w:rsidRPr="003F00DE">
        <w:rPr>
          <w:i/>
        </w:rPr>
        <w:t xml:space="preserve"> SINAP</w:t>
      </w:r>
      <w:r>
        <w:rPr>
          <w:i/>
        </w:rPr>
        <w:t>)</w:t>
      </w:r>
      <w:r w:rsidRPr="003F00DE">
        <w:rPr>
          <w:i/>
        </w:rPr>
        <w:t>, and the improvement of ecosystem services that benefit human well-being</w:t>
      </w:r>
      <w:r>
        <w:rPr>
          <w:i/>
        </w:rPr>
        <w:t xml:space="preserve">. </w:t>
      </w:r>
      <w:r w:rsidRPr="003F00DE">
        <w:rPr>
          <w:i/>
        </w:rPr>
        <w:t xml:space="preserve"> This entails capacity building, sustainable tourism, sustainable fisheries,</w:t>
      </w:r>
      <w:r>
        <w:rPr>
          <w:i/>
        </w:rPr>
        <w:t xml:space="preserve"> micro-watershed restoration</w:t>
      </w:r>
      <w:r w:rsidRPr="003F00DE">
        <w:rPr>
          <w:i/>
        </w:rPr>
        <w:t>,</w:t>
      </w:r>
      <w:r>
        <w:rPr>
          <w:i/>
        </w:rPr>
        <w:t xml:space="preserve"> and </w:t>
      </w:r>
      <w:r w:rsidRPr="003F00DE">
        <w:rPr>
          <w:i/>
        </w:rPr>
        <w:t>invasive species management</w:t>
      </w:r>
      <w:r>
        <w:rPr>
          <w:i/>
        </w:rPr>
        <w:t xml:space="preserve">. </w:t>
      </w:r>
      <w:r w:rsidRPr="00FC3892">
        <w:rPr>
          <w:i/>
        </w:rPr>
        <w:t>Although the SINAP includes all PAs, TNC’s focus is on Marine P</w:t>
      </w:r>
      <w:r w:rsidR="00861771" w:rsidRPr="00FC3892">
        <w:rPr>
          <w:i/>
        </w:rPr>
        <w:t>a</w:t>
      </w:r>
      <w:r w:rsidRPr="00FC3892">
        <w:rPr>
          <w:i/>
        </w:rPr>
        <w:t>s</w:t>
      </w:r>
      <w:r w:rsidR="00861771">
        <w:rPr>
          <w:i/>
        </w:rPr>
        <w:t>.</w:t>
      </w:r>
      <w:r>
        <w:rPr>
          <w:i/>
        </w:rPr>
        <w:t xml:space="preserve"> </w:t>
      </w:r>
      <w:r w:rsidRPr="00F060CA">
        <w:rPr>
          <w:i/>
        </w:rPr>
        <w:t xml:space="preserve">The national PA strategy does not include objectives for MPA expansion as the DR has </w:t>
      </w:r>
      <w:r w:rsidR="00861771">
        <w:rPr>
          <w:i/>
        </w:rPr>
        <w:t>already</w:t>
      </w:r>
      <w:r w:rsidRPr="00F060CA">
        <w:rPr>
          <w:i/>
        </w:rPr>
        <w:t xml:space="preserve"> surpassed the 20% PA coverage target of the </w:t>
      </w:r>
      <w:r w:rsidR="00F9702A">
        <w:rPr>
          <w:i/>
        </w:rPr>
        <w:t xml:space="preserve">Caribbean Challenge Initiative </w:t>
      </w:r>
      <w:r w:rsidRPr="00F060CA">
        <w:rPr>
          <w:i/>
        </w:rPr>
        <w:t>and the CBD</w:t>
      </w:r>
      <w:r w:rsidRPr="00FC3892">
        <w:rPr>
          <w:i/>
        </w:rPr>
        <w:t>.</w:t>
      </w:r>
    </w:p>
    <w:p w:rsidR="00F060CA" w:rsidRDefault="00F060CA" w:rsidP="00F060CA">
      <w:pPr>
        <w:spacing w:after="0"/>
      </w:pPr>
    </w:p>
    <w:p w:rsidR="00F060CA" w:rsidRDefault="00F060CA" w:rsidP="00F060CA">
      <w:pPr>
        <w:spacing w:after="0"/>
      </w:pPr>
      <w:r w:rsidRPr="00360A9A">
        <w:t>This strategy was initiated in 2005 through a National Implementation Support Program (NISP) agreement and is being implemented in the DR at national and site</w:t>
      </w:r>
      <w:r w:rsidR="00861771">
        <w:t xml:space="preserve"> </w:t>
      </w:r>
      <w:r w:rsidRPr="00360A9A">
        <w:t xml:space="preserve">scales. Under this agreement, TNC committed resources to the Dominican Ministry of Environment and Natural Resources (MARENA) (called Secretaria de Medio Ambiente y Recursos Naturales at that time) to support the implementation of the Convention on Biological Diversity’s (CBD) Program of Work on Protected Areas (POWPA), with particular emphasis on expansion and management of marine protected areas.  Per the POWPA, a Biological Gap Analysis, a Capacity Plan, a Sustainable Finance Plan and a Master Plan for the National System of Protected Areas (SINAP) were developed and presented to MARENA by TNC. </w:t>
      </w:r>
    </w:p>
    <w:p w:rsidR="00F060CA" w:rsidRDefault="00F060CA" w:rsidP="00F060CA">
      <w:pPr>
        <w:spacing w:after="0"/>
      </w:pPr>
    </w:p>
    <w:p w:rsidR="00F060CA" w:rsidRPr="00360A9A" w:rsidRDefault="00F060CA" w:rsidP="00F060CA">
      <w:pPr>
        <w:spacing w:after="0"/>
      </w:pPr>
      <w:r w:rsidRPr="00360A9A">
        <w:t>So far</w:t>
      </w:r>
      <w:r w:rsidR="00861771">
        <w:t>,</w:t>
      </w:r>
      <w:r w:rsidRPr="00360A9A">
        <w:t xml:space="preserve"> the implementation of the POWPA and the Biological Gap Analysis has resulted in the establishment of 31 new protected areas, including seven Marine Protected Areas which will safeguard over 2.7 million acres of marine and coastal habitat, including coral reefs and seagrass beds for manatees, dolphins, sharks and reef fish. </w:t>
      </w:r>
      <w:r>
        <w:t xml:space="preserve"> The n</w:t>
      </w:r>
      <w:r w:rsidRPr="00360A9A">
        <w:t>ext steps</w:t>
      </w:r>
      <w:r>
        <w:t xml:space="preserve"> are</w:t>
      </w:r>
      <w:r w:rsidRPr="00360A9A">
        <w:t xml:space="preserve"> </w:t>
      </w:r>
      <w:r>
        <w:t xml:space="preserve">1) </w:t>
      </w:r>
      <w:r w:rsidRPr="00360A9A">
        <w:t xml:space="preserve">the completion of the National Biodiversity Strategy and Action Plan, </w:t>
      </w:r>
      <w:r>
        <w:t xml:space="preserve">2) </w:t>
      </w:r>
      <w:r w:rsidRPr="00360A9A">
        <w:t>the adoption of the Master Plan by MARENA and</w:t>
      </w:r>
      <w:r>
        <w:t xml:space="preserve">, 3) </w:t>
      </w:r>
      <w:r w:rsidRPr="00360A9A">
        <w:t xml:space="preserve">its implementation by the government and non-governmental partners, including TNC.  </w:t>
      </w:r>
    </w:p>
    <w:p w:rsidR="00F060CA" w:rsidRDefault="00F060CA" w:rsidP="00F060CA"/>
    <w:p w:rsidR="00F060CA" w:rsidRPr="00D2570C" w:rsidRDefault="00F060CA" w:rsidP="00F060CA">
      <w:r>
        <w:t>Th</w:t>
      </w:r>
      <w:r w:rsidR="00397553">
        <w:t xml:space="preserve">e national protected area strategy </w:t>
      </w:r>
      <w:r>
        <w:t>focuses on developing and implementing m</w:t>
      </w:r>
      <w:r w:rsidRPr="00360A9A">
        <w:t>anagement models for selected</w:t>
      </w:r>
      <w:r>
        <w:t xml:space="preserve">, mostly coastal-marine, </w:t>
      </w:r>
      <w:r w:rsidRPr="00360A9A">
        <w:t>PAs</w:t>
      </w:r>
      <w:r w:rsidRPr="00D2570C">
        <w:t xml:space="preserve"> including:</w:t>
      </w:r>
    </w:p>
    <w:p w:rsidR="00F060CA" w:rsidRDefault="00F060CA" w:rsidP="00F060CA">
      <w:pPr>
        <w:pStyle w:val="ListParagraph"/>
        <w:numPr>
          <w:ilvl w:val="0"/>
          <w:numId w:val="15"/>
        </w:numPr>
        <w:spacing w:after="0" w:line="240" w:lineRule="auto"/>
      </w:pPr>
      <w:r w:rsidRPr="00D2570C">
        <w:t xml:space="preserve">Increasing management capacity </w:t>
      </w:r>
      <w:r w:rsidR="00861771">
        <w:t xml:space="preserve">and effectiveness </w:t>
      </w:r>
      <w:r w:rsidRPr="00D2570C">
        <w:t xml:space="preserve">(includes personnel training, equipment and data donations) </w:t>
      </w:r>
    </w:p>
    <w:p w:rsidR="00F060CA" w:rsidRDefault="00F060CA" w:rsidP="00F060CA">
      <w:pPr>
        <w:pStyle w:val="ListParagraph"/>
        <w:numPr>
          <w:ilvl w:val="0"/>
          <w:numId w:val="15"/>
        </w:numPr>
        <w:spacing w:after="0" w:line="240" w:lineRule="auto"/>
      </w:pPr>
      <w:r w:rsidRPr="00D2570C">
        <w:t>PAs Planning (Conservation Action Planning, Management Plans, zoning and finance plans)</w:t>
      </w:r>
    </w:p>
    <w:p w:rsidR="00F060CA" w:rsidRDefault="00F060CA" w:rsidP="00F060CA">
      <w:pPr>
        <w:pStyle w:val="ListParagraph"/>
        <w:numPr>
          <w:ilvl w:val="0"/>
          <w:numId w:val="15"/>
        </w:numPr>
        <w:spacing w:after="0" w:line="240" w:lineRule="auto"/>
      </w:pPr>
      <w:r w:rsidRPr="00D2570C">
        <w:t>Freshwater resources management</w:t>
      </w:r>
    </w:p>
    <w:p w:rsidR="00F060CA" w:rsidRDefault="00F060CA" w:rsidP="00F060CA">
      <w:pPr>
        <w:pStyle w:val="ListParagraph"/>
        <w:numPr>
          <w:ilvl w:val="0"/>
          <w:numId w:val="15"/>
        </w:numPr>
        <w:spacing w:after="0" w:line="240" w:lineRule="auto"/>
      </w:pPr>
      <w:r>
        <w:t>Micro-watershed restoration</w:t>
      </w:r>
    </w:p>
    <w:p w:rsidR="00F060CA" w:rsidRDefault="00F060CA" w:rsidP="00F060CA">
      <w:pPr>
        <w:pStyle w:val="ListParagraph"/>
        <w:numPr>
          <w:ilvl w:val="0"/>
          <w:numId w:val="15"/>
        </w:numPr>
        <w:spacing w:after="0" w:line="240" w:lineRule="auto"/>
      </w:pPr>
      <w:r w:rsidRPr="00D2570C">
        <w:t xml:space="preserve">Fisheries management </w:t>
      </w:r>
    </w:p>
    <w:p w:rsidR="00F060CA" w:rsidRDefault="00F060CA" w:rsidP="00F060CA">
      <w:pPr>
        <w:pStyle w:val="ListParagraph"/>
        <w:numPr>
          <w:ilvl w:val="0"/>
          <w:numId w:val="15"/>
        </w:numPr>
        <w:spacing w:after="0" w:line="240" w:lineRule="auto"/>
      </w:pPr>
      <w:r w:rsidRPr="00D2570C">
        <w:t xml:space="preserve">Tourism management </w:t>
      </w:r>
    </w:p>
    <w:p w:rsidR="00861771" w:rsidRDefault="00861771" w:rsidP="00F060CA">
      <w:pPr>
        <w:pStyle w:val="ListParagraph"/>
        <w:numPr>
          <w:ilvl w:val="0"/>
          <w:numId w:val="15"/>
        </w:numPr>
        <w:spacing w:after="0" w:line="240" w:lineRule="auto"/>
      </w:pPr>
      <w:r>
        <w:t>S</w:t>
      </w:r>
      <w:r w:rsidRPr="007C4D90">
        <w:t>takeholder use assessment of ecosystem goods and services</w:t>
      </w:r>
    </w:p>
    <w:p w:rsidR="00F060CA" w:rsidRDefault="00F060CA">
      <w:pPr>
        <w:pStyle w:val="ListParagraph"/>
        <w:spacing w:after="0" w:line="240" w:lineRule="auto"/>
      </w:pPr>
    </w:p>
    <w:p w:rsidR="00F060CA" w:rsidRDefault="00F060CA" w:rsidP="00F060CA">
      <w:pPr>
        <w:rPr>
          <w:lang w:val="en-029"/>
        </w:rPr>
      </w:pPr>
      <w:r w:rsidRPr="00D2570C">
        <w:lastRenderedPageBreak/>
        <w:t xml:space="preserve">It is expected that the successfully implemented models will </w:t>
      </w:r>
      <w:r>
        <w:t>be</w:t>
      </w:r>
      <w:r w:rsidRPr="00D2570C">
        <w:t xml:space="preserve"> replicate</w:t>
      </w:r>
      <w:r>
        <w:t xml:space="preserve">d </w:t>
      </w:r>
      <w:r w:rsidRPr="00D2570C">
        <w:t xml:space="preserve">in other protected areas as part of Master Plan implementation, contributing to improved management effectiveness </w:t>
      </w:r>
      <w:r>
        <w:t>of</w:t>
      </w:r>
      <w:r w:rsidRPr="00D2570C">
        <w:t xml:space="preserve"> SINAP as a whole.</w:t>
      </w:r>
    </w:p>
    <w:p w:rsidR="00F060CA" w:rsidRDefault="00F060CA">
      <w:pPr>
        <w:rPr>
          <w:lang w:val="en-029"/>
        </w:rPr>
      </w:pPr>
    </w:p>
    <w:p w:rsidR="00BF62C0" w:rsidRDefault="00BF62C0" w:rsidP="00BF62C0">
      <w:pPr>
        <w:pStyle w:val="Caption"/>
        <w:keepNext/>
      </w:pPr>
      <w:r>
        <w:t xml:space="preserve">Objectives and Indicators for </w:t>
      </w:r>
      <w:r w:rsidR="00F9702A">
        <w:t xml:space="preserve">Caribbean Challenge Initiative </w:t>
      </w:r>
      <w:r>
        <w:t>implementation in the Dominican Republic</w:t>
      </w:r>
    </w:p>
    <w:tbl>
      <w:tblPr>
        <w:tblStyle w:val="TableGrid"/>
        <w:tblW w:w="0" w:type="auto"/>
        <w:tblLayout w:type="fixed"/>
        <w:tblLook w:val="04A0"/>
      </w:tblPr>
      <w:tblGrid>
        <w:gridCol w:w="2898"/>
        <w:gridCol w:w="3150"/>
        <w:gridCol w:w="1440"/>
        <w:gridCol w:w="1295"/>
        <w:gridCol w:w="1405"/>
        <w:gridCol w:w="2250"/>
      </w:tblGrid>
      <w:tr w:rsidR="008A1B52" w:rsidRPr="007C4D90" w:rsidTr="008A1B52">
        <w:trPr>
          <w:trHeight w:val="315"/>
          <w:tblHeader/>
        </w:trPr>
        <w:tc>
          <w:tcPr>
            <w:tcW w:w="2898" w:type="dxa"/>
            <w:hideMark/>
          </w:tcPr>
          <w:p w:rsidR="008A1B52" w:rsidRPr="007C4D90" w:rsidRDefault="008A1B52" w:rsidP="007C4D90">
            <w:pPr>
              <w:rPr>
                <w:b/>
                <w:bCs/>
              </w:rPr>
            </w:pPr>
            <w:r w:rsidRPr="007C4D90">
              <w:rPr>
                <w:b/>
                <w:bCs/>
              </w:rPr>
              <w:t xml:space="preserve">Objective </w:t>
            </w:r>
          </w:p>
        </w:tc>
        <w:tc>
          <w:tcPr>
            <w:tcW w:w="3150" w:type="dxa"/>
            <w:hideMark/>
          </w:tcPr>
          <w:p w:rsidR="008A1B52" w:rsidRPr="007C4D90" w:rsidRDefault="008A1B52" w:rsidP="007C4D90">
            <w:pPr>
              <w:rPr>
                <w:b/>
                <w:bCs/>
              </w:rPr>
            </w:pPr>
            <w:r w:rsidRPr="007C4D90">
              <w:rPr>
                <w:b/>
                <w:bCs/>
              </w:rPr>
              <w:t>Indicators</w:t>
            </w:r>
          </w:p>
        </w:tc>
        <w:tc>
          <w:tcPr>
            <w:tcW w:w="1440" w:type="dxa"/>
            <w:hideMark/>
          </w:tcPr>
          <w:p w:rsidR="008A1B52" w:rsidRPr="007C4D90" w:rsidRDefault="008A1B52" w:rsidP="007C4D90">
            <w:pPr>
              <w:rPr>
                <w:b/>
                <w:bCs/>
              </w:rPr>
            </w:pPr>
            <w:r w:rsidRPr="007C4D90">
              <w:rPr>
                <w:b/>
                <w:bCs/>
              </w:rPr>
              <w:t>Who monitors</w:t>
            </w:r>
          </w:p>
        </w:tc>
        <w:tc>
          <w:tcPr>
            <w:tcW w:w="1295" w:type="dxa"/>
            <w:hideMark/>
          </w:tcPr>
          <w:p w:rsidR="008A1B52" w:rsidRPr="007C4D90" w:rsidRDefault="008A1B52" w:rsidP="007C4D90">
            <w:pPr>
              <w:rPr>
                <w:b/>
                <w:bCs/>
              </w:rPr>
            </w:pPr>
            <w:r w:rsidRPr="007C4D90">
              <w:rPr>
                <w:b/>
                <w:bCs/>
              </w:rPr>
              <w:t>Frequency</w:t>
            </w:r>
          </w:p>
        </w:tc>
        <w:tc>
          <w:tcPr>
            <w:tcW w:w="1405" w:type="dxa"/>
            <w:noWrap/>
            <w:hideMark/>
          </w:tcPr>
          <w:p w:rsidR="008A1B52" w:rsidRPr="007C4D90" w:rsidRDefault="008A1B52" w:rsidP="007C4D90">
            <w:pPr>
              <w:rPr>
                <w:b/>
                <w:bCs/>
              </w:rPr>
            </w:pPr>
            <w:r w:rsidRPr="007C4D90">
              <w:rPr>
                <w:b/>
                <w:bCs/>
              </w:rPr>
              <w:t>Audience</w:t>
            </w:r>
          </w:p>
        </w:tc>
        <w:tc>
          <w:tcPr>
            <w:tcW w:w="2250" w:type="dxa"/>
            <w:hideMark/>
          </w:tcPr>
          <w:p w:rsidR="008A1B52" w:rsidRPr="007C4D90" w:rsidRDefault="008A1B52" w:rsidP="007C4D90">
            <w:pPr>
              <w:rPr>
                <w:b/>
                <w:bCs/>
              </w:rPr>
            </w:pPr>
            <w:r w:rsidRPr="007C4D90">
              <w:rPr>
                <w:b/>
                <w:bCs/>
              </w:rPr>
              <w:t>Decision-making trigger</w:t>
            </w:r>
          </w:p>
        </w:tc>
      </w:tr>
      <w:tr w:rsidR="008A1B52" w:rsidRPr="007C4D90" w:rsidTr="00340FD8">
        <w:trPr>
          <w:trHeight w:val="315"/>
        </w:trPr>
        <w:tc>
          <w:tcPr>
            <w:tcW w:w="12438" w:type="dxa"/>
            <w:gridSpan w:val="6"/>
          </w:tcPr>
          <w:p w:rsidR="008A1B52" w:rsidRPr="00397553" w:rsidRDefault="008A1B52" w:rsidP="007C4D90">
            <w:pPr>
              <w:rPr>
                <w:b/>
                <w:bCs/>
              </w:rPr>
            </w:pPr>
            <w:r w:rsidRPr="00397553">
              <w:rPr>
                <w:b/>
              </w:rPr>
              <w:t>National</w:t>
            </w:r>
            <w:r w:rsidRPr="00397553">
              <w:rPr>
                <w:b/>
                <w:bCs/>
              </w:rPr>
              <w:t xml:space="preserve"> Strategy Sustainable Financing of PAs: </w:t>
            </w:r>
            <w:r w:rsidRPr="00397553">
              <w:rPr>
                <w:b/>
              </w:rPr>
              <w:t>Establish dedicated and permanent sources of funding to improve management effectiveness within Caribbean Protected Areas.</w:t>
            </w:r>
          </w:p>
        </w:tc>
      </w:tr>
      <w:tr w:rsidR="008A1B52" w:rsidRPr="007C4D90" w:rsidTr="008A1B52">
        <w:trPr>
          <w:trHeight w:val="2400"/>
        </w:trPr>
        <w:tc>
          <w:tcPr>
            <w:tcW w:w="2898" w:type="dxa"/>
            <w:hideMark/>
          </w:tcPr>
          <w:p w:rsidR="008A1B52" w:rsidRPr="007C4D90" w:rsidRDefault="008A1B52">
            <w:r w:rsidRPr="007C4D90">
              <w:t xml:space="preserve">By May 2012, bylaws for NPATFs </w:t>
            </w:r>
            <w:r w:rsidR="00A94A83">
              <w:t>conform to</w:t>
            </w:r>
            <w:r w:rsidRPr="007C4D90">
              <w:t xml:space="preserve"> CBF stipulations</w:t>
            </w:r>
          </w:p>
        </w:tc>
        <w:tc>
          <w:tcPr>
            <w:tcW w:w="3150" w:type="dxa"/>
            <w:hideMark/>
          </w:tcPr>
          <w:p w:rsidR="008A1B52" w:rsidRPr="007C4D90" w:rsidRDefault="008A1B52">
            <w:r w:rsidRPr="007C4D90">
              <w:t>Signed agreement b/w CBF and NPATF which requires legal reviews, governance review, translation, administrative and financial review, agreement from DR government on operating mechanisms multiple ministries agreements signoff.</w:t>
            </w:r>
          </w:p>
        </w:tc>
        <w:tc>
          <w:tcPr>
            <w:tcW w:w="1440" w:type="dxa"/>
            <w:hideMark/>
          </w:tcPr>
          <w:p w:rsidR="008A1B52" w:rsidRPr="007C4D90" w:rsidRDefault="008A1B52">
            <w:r w:rsidRPr="007C4D90">
              <w:t xml:space="preserve">Nestor * </w:t>
            </w:r>
          </w:p>
        </w:tc>
        <w:tc>
          <w:tcPr>
            <w:tcW w:w="1295" w:type="dxa"/>
            <w:hideMark/>
          </w:tcPr>
          <w:p w:rsidR="008A1B52" w:rsidRPr="007C4D90" w:rsidRDefault="008A1B52">
            <w:r w:rsidRPr="007C4D90">
              <w:t>one time</w:t>
            </w:r>
          </w:p>
        </w:tc>
        <w:tc>
          <w:tcPr>
            <w:tcW w:w="1405" w:type="dxa"/>
            <w:noWrap/>
            <w:hideMark/>
          </w:tcPr>
          <w:p w:rsidR="008A1B52" w:rsidRPr="007C4D90" w:rsidRDefault="008A1B52">
            <w:r w:rsidRPr="007C4D90">
              <w:t xml:space="preserve">Marianne, Phil, </w:t>
            </w:r>
          </w:p>
        </w:tc>
        <w:tc>
          <w:tcPr>
            <w:tcW w:w="2250" w:type="dxa"/>
            <w:hideMark/>
          </w:tcPr>
          <w:p w:rsidR="008A1B52" w:rsidRPr="007C4D90" w:rsidRDefault="008A1B52">
            <w:r w:rsidRPr="007C4D90">
              <w:t>No go point-If agreement is not signed by August 2011, then go to plan B.</w:t>
            </w:r>
          </w:p>
        </w:tc>
      </w:tr>
      <w:tr w:rsidR="008A1B52" w:rsidRPr="007C4D90" w:rsidTr="008A1B52">
        <w:trPr>
          <w:trHeight w:val="1500"/>
        </w:trPr>
        <w:tc>
          <w:tcPr>
            <w:tcW w:w="2898" w:type="dxa"/>
            <w:hideMark/>
          </w:tcPr>
          <w:p w:rsidR="008A1B52" w:rsidRPr="007C4D90" w:rsidRDefault="008A1B52">
            <w:r w:rsidRPr="007C4D90">
              <w:t xml:space="preserve">By 2015, the full local revenue match ($250K) to CBF proceeds go to NPATFs </w:t>
            </w:r>
          </w:p>
        </w:tc>
        <w:tc>
          <w:tcPr>
            <w:tcW w:w="3150" w:type="dxa"/>
            <w:hideMark/>
          </w:tcPr>
          <w:p w:rsidR="008A1B52" w:rsidRPr="007C4D90" w:rsidRDefault="008A1B52">
            <w:r w:rsidRPr="007C4D90">
              <w:t xml:space="preserve">1. $ amount                                                                                                                                       </w:t>
            </w:r>
          </w:p>
        </w:tc>
        <w:tc>
          <w:tcPr>
            <w:tcW w:w="1440" w:type="dxa"/>
            <w:hideMark/>
          </w:tcPr>
          <w:p w:rsidR="008A1B52" w:rsidRPr="007C4D90" w:rsidRDefault="008A1B52">
            <w:r w:rsidRPr="007C4D90">
              <w:t>Nestor *   (NPATF and GEF could provide the information or the CBF)</w:t>
            </w:r>
          </w:p>
        </w:tc>
        <w:tc>
          <w:tcPr>
            <w:tcW w:w="1295" w:type="dxa"/>
            <w:hideMark/>
          </w:tcPr>
          <w:p w:rsidR="008A1B52" w:rsidRPr="007C4D90" w:rsidRDefault="008A1B52">
            <w:r w:rsidRPr="007C4D90">
              <w:t>yearly</w:t>
            </w:r>
          </w:p>
        </w:tc>
        <w:tc>
          <w:tcPr>
            <w:tcW w:w="1405" w:type="dxa"/>
            <w:hideMark/>
          </w:tcPr>
          <w:p w:rsidR="008A1B52" w:rsidRPr="007C4D90" w:rsidRDefault="008A1B52">
            <w:r w:rsidRPr="007C4D90">
              <w:t>Marianne, Phil, Board NPATF</w:t>
            </w:r>
          </w:p>
        </w:tc>
        <w:tc>
          <w:tcPr>
            <w:tcW w:w="2250" w:type="dxa"/>
            <w:hideMark/>
          </w:tcPr>
          <w:p w:rsidR="008A1B52" w:rsidRPr="007C4D90" w:rsidRDefault="008A1B52">
            <w:r w:rsidRPr="007C4D90">
              <w:t xml:space="preserve">One year before the final deadline (2015), the likelihood of getting the target is low (&lt;50%)                              </w:t>
            </w:r>
          </w:p>
        </w:tc>
      </w:tr>
      <w:tr w:rsidR="008A1B52" w:rsidRPr="007C4D90" w:rsidTr="008A1B52">
        <w:trPr>
          <w:trHeight w:val="1200"/>
        </w:trPr>
        <w:tc>
          <w:tcPr>
            <w:tcW w:w="2898" w:type="dxa"/>
            <w:hideMark/>
          </w:tcPr>
          <w:p w:rsidR="008A1B52" w:rsidRPr="007C4D90" w:rsidRDefault="005E76BA">
            <w:r w:rsidRPr="007C4D90">
              <w:t xml:space="preserve">By 2020, close 25 %  of the financing gap (as of 2007) of the PA national system </w:t>
            </w:r>
          </w:p>
        </w:tc>
        <w:tc>
          <w:tcPr>
            <w:tcW w:w="3150" w:type="dxa"/>
            <w:hideMark/>
          </w:tcPr>
          <w:p w:rsidR="008A1B52" w:rsidRPr="007C4D90" w:rsidRDefault="008A1B52">
            <w:r w:rsidRPr="007C4D90">
              <w:t xml:space="preserve">% funding gap closed                          </w:t>
            </w:r>
          </w:p>
        </w:tc>
        <w:tc>
          <w:tcPr>
            <w:tcW w:w="1440" w:type="dxa"/>
            <w:hideMark/>
          </w:tcPr>
          <w:p w:rsidR="008A1B52" w:rsidRPr="007C4D90" w:rsidRDefault="008A1B52">
            <w:r w:rsidRPr="007C4D90">
              <w:t xml:space="preserve">Nestor * </w:t>
            </w:r>
          </w:p>
        </w:tc>
        <w:tc>
          <w:tcPr>
            <w:tcW w:w="1295" w:type="dxa"/>
            <w:hideMark/>
          </w:tcPr>
          <w:p w:rsidR="008A1B52" w:rsidRPr="007C4D90" w:rsidRDefault="008A1B52">
            <w:r w:rsidRPr="007C4D90">
              <w:t>Every two years</w:t>
            </w:r>
          </w:p>
        </w:tc>
        <w:tc>
          <w:tcPr>
            <w:tcW w:w="1405" w:type="dxa"/>
            <w:hideMark/>
          </w:tcPr>
          <w:p w:rsidR="008A1B52" w:rsidRPr="007C4D90" w:rsidRDefault="008A1B52">
            <w:r w:rsidRPr="007C4D90">
              <w:t>Marianne, Phil, Board NPATF</w:t>
            </w:r>
          </w:p>
        </w:tc>
        <w:tc>
          <w:tcPr>
            <w:tcW w:w="2250" w:type="dxa"/>
            <w:hideMark/>
          </w:tcPr>
          <w:p w:rsidR="008A1B52" w:rsidRPr="007C4D90" w:rsidRDefault="008A1B52">
            <w:r w:rsidRPr="007C4D90">
              <w:t>If there is no change in size of the gap by 2015?</w:t>
            </w:r>
          </w:p>
        </w:tc>
      </w:tr>
      <w:tr w:rsidR="008A1B52" w:rsidRPr="007C4D90" w:rsidTr="00340FD8">
        <w:trPr>
          <w:trHeight w:val="350"/>
        </w:trPr>
        <w:tc>
          <w:tcPr>
            <w:tcW w:w="12438" w:type="dxa"/>
            <w:gridSpan w:val="6"/>
          </w:tcPr>
          <w:p w:rsidR="008A1B52" w:rsidRPr="007C4D90" w:rsidRDefault="008A1B52">
            <w:r w:rsidRPr="00397553">
              <w:rPr>
                <w:b/>
              </w:rPr>
              <w:t>National</w:t>
            </w:r>
            <w:r w:rsidRPr="00397553">
              <w:rPr>
                <w:b/>
                <w:bCs/>
              </w:rPr>
              <w:t xml:space="preserve"> Strategy</w:t>
            </w:r>
            <w:r>
              <w:rPr>
                <w:b/>
                <w:bCs/>
              </w:rPr>
              <w:t xml:space="preserve">: </w:t>
            </w:r>
            <w:r w:rsidRPr="007C4D90">
              <w:rPr>
                <w:b/>
                <w:bCs/>
              </w:rPr>
              <w:t xml:space="preserve">Marine Protected Areas: Increase management </w:t>
            </w:r>
            <w:r w:rsidR="00861771">
              <w:rPr>
                <w:b/>
                <w:bCs/>
              </w:rPr>
              <w:t xml:space="preserve">effectiveness </w:t>
            </w:r>
            <w:r w:rsidRPr="007C4D90">
              <w:rPr>
                <w:b/>
                <w:bCs/>
              </w:rPr>
              <w:t>of Dominican Republic Protected Areas</w:t>
            </w:r>
          </w:p>
        </w:tc>
      </w:tr>
      <w:tr w:rsidR="008A1B52" w:rsidRPr="007C4D90" w:rsidTr="008A1B52">
        <w:trPr>
          <w:trHeight w:val="1035"/>
        </w:trPr>
        <w:tc>
          <w:tcPr>
            <w:tcW w:w="2898" w:type="dxa"/>
            <w:vMerge w:val="restart"/>
            <w:hideMark/>
          </w:tcPr>
          <w:p w:rsidR="008A1B52" w:rsidRPr="007C4D90" w:rsidRDefault="008A1B52">
            <w:r w:rsidRPr="007C4D90">
              <w:lastRenderedPageBreak/>
              <w:t>By 2012,  government, partners, and other stakeholders increase level of investment in national system of protected areas by X% based on recommendations from the Master Plan</w:t>
            </w:r>
          </w:p>
        </w:tc>
        <w:tc>
          <w:tcPr>
            <w:tcW w:w="3150" w:type="dxa"/>
            <w:hideMark/>
          </w:tcPr>
          <w:p w:rsidR="008A1B52" w:rsidRPr="007C4D90" w:rsidRDefault="008A1B52">
            <w:r w:rsidRPr="007C4D90">
              <w:t>Total US dollar amount contributed (Beyond NPATFs) - as reported in the financial score card</w:t>
            </w:r>
          </w:p>
        </w:tc>
        <w:tc>
          <w:tcPr>
            <w:tcW w:w="1440" w:type="dxa"/>
            <w:hideMark/>
          </w:tcPr>
          <w:p w:rsidR="008A1B52" w:rsidRPr="007C4D90" w:rsidRDefault="008A1B52">
            <w:r w:rsidRPr="007C4D90">
              <w:t>Nestor</w:t>
            </w:r>
          </w:p>
        </w:tc>
        <w:tc>
          <w:tcPr>
            <w:tcW w:w="1295" w:type="dxa"/>
            <w:hideMark/>
          </w:tcPr>
          <w:p w:rsidR="008A1B52" w:rsidRPr="007C4D90" w:rsidRDefault="008A1B52">
            <w:r w:rsidRPr="007C4D90">
              <w:t>every 2 years</w:t>
            </w:r>
          </w:p>
        </w:tc>
        <w:tc>
          <w:tcPr>
            <w:tcW w:w="1405" w:type="dxa"/>
            <w:noWrap/>
            <w:hideMark/>
          </w:tcPr>
          <w:p w:rsidR="008A1B52" w:rsidRPr="007C4D90" w:rsidRDefault="008A1B52">
            <w:r w:rsidRPr="007C4D90">
              <w:t>Marianne, Phil, Nestor, Kasia</w:t>
            </w:r>
          </w:p>
        </w:tc>
        <w:tc>
          <w:tcPr>
            <w:tcW w:w="2250" w:type="dxa"/>
            <w:hideMark/>
          </w:tcPr>
          <w:p w:rsidR="008A1B52" w:rsidRPr="007C4D90" w:rsidRDefault="008A1B52">
            <w:r w:rsidRPr="007C4D90">
              <w:t>No increase in funding or investment based on the annual budget allocation</w:t>
            </w:r>
          </w:p>
        </w:tc>
      </w:tr>
      <w:tr w:rsidR="008A1B52" w:rsidRPr="007C4D90" w:rsidTr="008A1B52">
        <w:trPr>
          <w:trHeight w:val="1230"/>
        </w:trPr>
        <w:tc>
          <w:tcPr>
            <w:tcW w:w="2898" w:type="dxa"/>
            <w:vMerge/>
            <w:hideMark/>
          </w:tcPr>
          <w:p w:rsidR="008A1B52" w:rsidRPr="007C4D90" w:rsidRDefault="008A1B52"/>
        </w:tc>
        <w:tc>
          <w:tcPr>
            <w:tcW w:w="3150" w:type="dxa"/>
            <w:hideMark/>
          </w:tcPr>
          <w:p w:rsidR="008A1B52" w:rsidRPr="007C4D90" w:rsidRDefault="008A1B52">
            <w:r w:rsidRPr="007C4D90">
              <w:t>Number of Master Plan recommendations/initiatives under implementation</w:t>
            </w:r>
          </w:p>
        </w:tc>
        <w:tc>
          <w:tcPr>
            <w:tcW w:w="1440" w:type="dxa"/>
            <w:hideMark/>
          </w:tcPr>
          <w:p w:rsidR="008A1B52" w:rsidRPr="007C4D90" w:rsidRDefault="008A1B52">
            <w:r w:rsidRPr="007C4D90">
              <w:t>Nestor</w:t>
            </w:r>
          </w:p>
        </w:tc>
        <w:tc>
          <w:tcPr>
            <w:tcW w:w="1295" w:type="dxa"/>
            <w:hideMark/>
          </w:tcPr>
          <w:p w:rsidR="008A1B52" w:rsidRPr="007C4D90" w:rsidRDefault="008A1B52">
            <w:r w:rsidRPr="007C4D90">
              <w:t>yearly</w:t>
            </w:r>
          </w:p>
        </w:tc>
        <w:tc>
          <w:tcPr>
            <w:tcW w:w="1405" w:type="dxa"/>
            <w:noWrap/>
            <w:hideMark/>
          </w:tcPr>
          <w:p w:rsidR="008A1B52" w:rsidRPr="007C4D90" w:rsidRDefault="008A1B52">
            <w:r w:rsidRPr="007C4D90">
              <w:t>Marianne, Phil, Nestor, Kasia</w:t>
            </w:r>
          </w:p>
        </w:tc>
        <w:tc>
          <w:tcPr>
            <w:tcW w:w="2250" w:type="dxa"/>
            <w:hideMark/>
          </w:tcPr>
          <w:p w:rsidR="008A1B52" w:rsidRPr="007C4D90" w:rsidRDefault="008A1B52">
            <w:r w:rsidRPr="007C4D90">
              <w:t>Master Plan timeline and recommendations are not being followed and implemented</w:t>
            </w:r>
          </w:p>
        </w:tc>
      </w:tr>
      <w:tr w:rsidR="008A1B52" w:rsidRPr="007C4D90" w:rsidTr="008A1B52">
        <w:trPr>
          <w:trHeight w:val="1410"/>
        </w:trPr>
        <w:tc>
          <w:tcPr>
            <w:tcW w:w="2898" w:type="dxa"/>
            <w:hideMark/>
          </w:tcPr>
          <w:p w:rsidR="008A1B52" w:rsidRPr="007C4D90" w:rsidRDefault="008A1B52">
            <w:r w:rsidRPr="007C4D90">
              <w:t>By 2012, functional coordination mechanism between relevant stakeholders in place for large projects implemented under PA master plan</w:t>
            </w:r>
          </w:p>
        </w:tc>
        <w:tc>
          <w:tcPr>
            <w:tcW w:w="3150" w:type="dxa"/>
            <w:hideMark/>
          </w:tcPr>
          <w:p w:rsidR="008A1B52" w:rsidRPr="007C4D90" w:rsidRDefault="008A1B52">
            <w:r w:rsidRPr="007C4D90">
              <w:t>Number of coordinating GEF units created and operational - comes from GEF reengineering documents (To be revised)</w:t>
            </w:r>
          </w:p>
        </w:tc>
        <w:tc>
          <w:tcPr>
            <w:tcW w:w="1440" w:type="dxa"/>
            <w:noWrap/>
            <w:hideMark/>
          </w:tcPr>
          <w:p w:rsidR="008A1B52" w:rsidRPr="007C4D90" w:rsidRDefault="008A1B52">
            <w:r w:rsidRPr="007C4D90">
              <w:t xml:space="preserve">Nestor gathers information from GEF project budget coordinator in MofE </w:t>
            </w:r>
          </w:p>
        </w:tc>
        <w:tc>
          <w:tcPr>
            <w:tcW w:w="1295" w:type="dxa"/>
            <w:hideMark/>
          </w:tcPr>
          <w:p w:rsidR="008A1B52" w:rsidRPr="007C4D90" w:rsidRDefault="008A1B52">
            <w:r w:rsidRPr="007C4D90">
              <w:t>yearly (verify)</w:t>
            </w:r>
          </w:p>
        </w:tc>
        <w:tc>
          <w:tcPr>
            <w:tcW w:w="1405" w:type="dxa"/>
            <w:noWrap/>
            <w:hideMark/>
          </w:tcPr>
          <w:p w:rsidR="008A1B52" w:rsidRPr="007C4D90" w:rsidRDefault="008A1B52">
            <w:r w:rsidRPr="007C4D90">
              <w:t>Marianne, Phil, Nestor, Kasia</w:t>
            </w:r>
          </w:p>
        </w:tc>
        <w:tc>
          <w:tcPr>
            <w:tcW w:w="2250" w:type="dxa"/>
            <w:hideMark/>
          </w:tcPr>
          <w:p w:rsidR="008A1B52" w:rsidRPr="007C4D90" w:rsidRDefault="008A1B52">
            <w:r w:rsidRPr="007C4D90">
              <w:t>GEF project timeline and recommendations are not being followed and implemented</w:t>
            </w:r>
          </w:p>
        </w:tc>
      </w:tr>
      <w:tr w:rsidR="008A1B52" w:rsidRPr="007C4D90" w:rsidTr="008A1B52">
        <w:trPr>
          <w:trHeight w:val="1500"/>
        </w:trPr>
        <w:tc>
          <w:tcPr>
            <w:tcW w:w="2898" w:type="dxa"/>
            <w:hideMark/>
          </w:tcPr>
          <w:p w:rsidR="008A1B52" w:rsidRPr="007C4D90" w:rsidRDefault="008A1B52">
            <w:r w:rsidRPr="007C4D90">
              <w:t xml:space="preserve">Management effectiveness (measured by RAPPAM scores for system level and by METT particularly for sites TNC is interested in) for Dominican Republic to improve to minimum threshold by 2020. </w:t>
            </w:r>
          </w:p>
        </w:tc>
        <w:tc>
          <w:tcPr>
            <w:tcW w:w="3150" w:type="dxa"/>
            <w:hideMark/>
          </w:tcPr>
          <w:p w:rsidR="008A1B52" w:rsidRPr="007C4D90" w:rsidRDefault="008A1B52">
            <w:r w:rsidRPr="007C4D90">
              <w:t xml:space="preserve">RAPPAM and METT score </w:t>
            </w:r>
          </w:p>
        </w:tc>
        <w:tc>
          <w:tcPr>
            <w:tcW w:w="1440" w:type="dxa"/>
            <w:hideMark/>
          </w:tcPr>
          <w:p w:rsidR="008A1B52" w:rsidRPr="007C4D90" w:rsidRDefault="008A1B52">
            <w:r w:rsidRPr="007C4D90">
              <w:t>Kasia</w:t>
            </w:r>
          </w:p>
        </w:tc>
        <w:tc>
          <w:tcPr>
            <w:tcW w:w="1295" w:type="dxa"/>
            <w:hideMark/>
          </w:tcPr>
          <w:p w:rsidR="008A1B52" w:rsidRPr="007C4D90" w:rsidRDefault="008A1B52">
            <w:r w:rsidRPr="007C4D90">
              <w:t>Every 2 years</w:t>
            </w:r>
          </w:p>
        </w:tc>
        <w:tc>
          <w:tcPr>
            <w:tcW w:w="1405" w:type="dxa"/>
            <w:noWrap/>
            <w:hideMark/>
          </w:tcPr>
          <w:p w:rsidR="008A1B52" w:rsidRPr="007C4D90" w:rsidRDefault="008A1B52">
            <w:r w:rsidRPr="007C4D90">
              <w:t>DR Staff and MofE</w:t>
            </w:r>
          </w:p>
        </w:tc>
        <w:tc>
          <w:tcPr>
            <w:tcW w:w="2250" w:type="dxa"/>
            <w:hideMark/>
          </w:tcPr>
          <w:p w:rsidR="008A1B52" w:rsidRPr="007C4D90" w:rsidRDefault="008A1B52">
            <w:r w:rsidRPr="007C4D90">
              <w:t>No change or negative change in RAPPAM/METT score by 2014</w:t>
            </w:r>
          </w:p>
        </w:tc>
      </w:tr>
      <w:tr w:rsidR="008A1B52" w:rsidRPr="007C4D90" w:rsidTr="008A1B52">
        <w:trPr>
          <w:trHeight w:val="1500"/>
        </w:trPr>
        <w:tc>
          <w:tcPr>
            <w:tcW w:w="2898" w:type="dxa"/>
            <w:hideMark/>
          </w:tcPr>
          <w:p w:rsidR="008A1B52" w:rsidRPr="007C4D90" w:rsidRDefault="008A1B52">
            <w:r w:rsidRPr="007C4D90">
              <w:t>By 2015, determine the economic and social values of ecosystem good and services within selected MPAs and incorporate into site management plans.</w:t>
            </w:r>
          </w:p>
        </w:tc>
        <w:tc>
          <w:tcPr>
            <w:tcW w:w="3150" w:type="dxa"/>
            <w:hideMark/>
          </w:tcPr>
          <w:p w:rsidR="008A1B52" w:rsidRPr="007C4D90" w:rsidRDefault="008A1B52">
            <w:r w:rsidRPr="007C4D90">
              <w:t>PA management plans include MPA values and stakeholder use assessment of ecosystem goods and services related to:   Livelihoods, life support, empowerment, cultural significance etc.</w:t>
            </w:r>
          </w:p>
        </w:tc>
        <w:tc>
          <w:tcPr>
            <w:tcW w:w="1440" w:type="dxa"/>
            <w:hideMark/>
          </w:tcPr>
          <w:p w:rsidR="008A1B52" w:rsidRPr="007C4D90" w:rsidRDefault="008A1B52">
            <w:r w:rsidRPr="007C4D90">
              <w:t>Eddy</w:t>
            </w:r>
          </w:p>
        </w:tc>
        <w:tc>
          <w:tcPr>
            <w:tcW w:w="1295" w:type="dxa"/>
            <w:hideMark/>
          </w:tcPr>
          <w:p w:rsidR="008A1B52" w:rsidRPr="007C4D90" w:rsidRDefault="008A1B52">
            <w:r w:rsidRPr="007C4D90">
              <w:t>Every 5 years</w:t>
            </w:r>
          </w:p>
        </w:tc>
        <w:tc>
          <w:tcPr>
            <w:tcW w:w="1405" w:type="dxa"/>
            <w:noWrap/>
            <w:hideMark/>
          </w:tcPr>
          <w:p w:rsidR="008A1B52" w:rsidRPr="007C4D90" w:rsidRDefault="008A1B52">
            <w:r w:rsidRPr="007C4D90">
              <w:t xml:space="preserve">DR Staff, MofE, and other stakeholders (NGOs, local </w:t>
            </w:r>
            <w:r w:rsidR="005E76BA" w:rsidRPr="007C4D90">
              <w:t>gov</w:t>
            </w:r>
            <w:r w:rsidR="005E76BA">
              <w:t>ernment</w:t>
            </w:r>
            <w:r w:rsidRPr="007C4D90">
              <w:t>, etc)</w:t>
            </w:r>
          </w:p>
        </w:tc>
        <w:tc>
          <w:tcPr>
            <w:tcW w:w="2250" w:type="dxa"/>
            <w:hideMark/>
          </w:tcPr>
          <w:p w:rsidR="008A1B52" w:rsidRPr="007C4D90" w:rsidRDefault="008A1B52">
            <w:r w:rsidRPr="007C4D90">
              <w:t>Negative perception in community</w:t>
            </w:r>
          </w:p>
        </w:tc>
      </w:tr>
      <w:tr w:rsidR="008A1B52" w:rsidRPr="007C4D90" w:rsidTr="008A1B52">
        <w:trPr>
          <w:trHeight w:val="900"/>
        </w:trPr>
        <w:tc>
          <w:tcPr>
            <w:tcW w:w="2898" w:type="dxa"/>
            <w:hideMark/>
          </w:tcPr>
          <w:p w:rsidR="008A1B52" w:rsidRPr="007C4D90" w:rsidRDefault="008A1B52">
            <w:r w:rsidRPr="007C4D90">
              <w:lastRenderedPageBreak/>
              <w:t>Determine the socio-economic impacts of MPA enhancement/expansion on human well-being</w:t>
            </w:r>
          </w:p>
        </w:tc>
        <w:tc>
          <w:tcPr>
            <w:tcW w:w="3150" w:type="dxa"/>
            <w:hideMark/>
          </w:tcPr>
          <w:p w:rsidR="008A1B52" w:rsidRPr="007C4D90" w:rsidRDefault="008A1B52">
            <w:r w:rsidRPr="007C4D90">
              <w:t>MPA impact assessment including stakeholder KAP and other social surveys.</w:t>
            </w:r>
          </w:p>
        </w:tc>
        <w:tc>
          <w:tcPr>
            <w:tcW w:w="1440" w:type="dxa"/>
            <w:hideMark/>
          </w:tcPr>
          <w:p w:rsidR="008A1B52" w:rsidRPr="007C4D90" w:rsidRDefault="008A1B52">
            <w:r w:rsidRPr="007C4D90">
              <w:t>Eddy</w:t>
            </w:r>
          </w:p>
        </w:tc>
        <w:tc>
          <w:tcPr>
            <w:tcW w:w="1295" w:type="dxa"/>
            <w:hideMark/>
          </w:tcPr>
          <w:p w:rsidR="008A1B52" w:rsidRPr="007C4D90" w:rsidRDefault="008A1B52">
            <w:r w:rsidRPr="007C4D90">
              <w:t>Every 5 years</w:t>
            </w:r>
          </w:p>
        </w:tc>
        <w:tc>
          <w:tcPr>
            <w:tcW w:w="1405" w:type="dxa"/>
            <w:noWrap/>
            <w:hideMark/>
          </w:tcPr>
          <w:p w:rsidR="008A1B52" w:rsidRPr="007C4D90" w:rsidRDefault="008A1B52">
            <w:r w:rsidRPr="007C4D90">
              <w:t xml:space="preserve">DR Staff, MofE, and other stakeholders (NGOs, local </w:t>
            </w:r>
            <w:r w:rsidR="005E76BA" w:rsidRPr="007C4D90">
              <w:t>government</w:t>
            </w:r>
            <w:r w:rsidRPr="007C4D90">
              <w:t>, etc)</w:t>
            </w:r>
          </w:p>
        </w:tc>
        <w:tc>
          <w:tcPr>
            <w:tcW w:w="2250" w:type="dxa"/>
            <w:hideMark/>
          </w:tcPr>
          <w:p w:rsidR="008A1B52" w:rsidRPr="007C4D90" w:rsidRDefault="008A1B52">
            <w:r w:rsidRPr="007C4D90">
              <w:t>Negative perception or benefits in community</w:t>
            </w:r>
            <w:r w:rsidR="003429B0">
              <w:rPr>
                <w:rStyle w:val="CommentReference"/>
              </w:rPr>
              <w:commentReference w:id="24"/>
            </w:r>
            <w:r w:rsidR="00507599">
              <w:rPr>
                <w:rStyle w:val="CommentReference"/>
              </w:rPr>
              <w:commentReference w:id="25"/>
            </w:r>
          </w:p>
        </w:tc>
      </w:tr>
      <w:tr w:rsidR="008A1B52" w:rsidRPr="007C4D90" w:rsidTr="00340FD8">
        <w:trPr>
          <w:trHeight w:val="422"/>
        </w:trPr>
        <w:tc>
          <w:tcPr>
            <w:tcW w:w="12438" w:type="dxa"/>
            <w:gridSpan w:val="6"/>
          </w:tcPr>
          <w:p w:rsidR="008A1B52" w:rsidRPr="007C4D90" w:rsidRDefault="008A1B52">
            <w:r w:rsidRPr="00397553">
              <w:rPr>
                <w:b/>
              </w:rPr>
              <w:t>Site</w:t>
            </w:r>
            <w:r w:rsidRPr="00397553">
              <w:rPr>
                <w:b/>
                <w:bCs/>
              </w:rPr>
              <w:t xml:space="preserve"> Strategy</w:t>
            </w:r>
            <w:r>
              <w:rPr>
                <w:b/>
                <w:bCs/>
              </w:rPr>
              <w:t xml:space="preserve"> </w:t>
            </w:r>
            <w:r w:rsidR="00861771">
              <w:rPr>
                <w:b/>
                <w:bCs/>
              </w:rPr>
              <w:t>M</w:t>
            </w:r>
            <w:r w:rsidRPr="007C4D90">
              <w:rPr>
                <w:b/>
                <w:bCs/>
              </w:rPr>
              <w:t xml:space="preserve">anagement </w:t>
            </w:r>
            <w:r w:rsidR="00861771">
              <w:rPr>
                <w:b/>
                <w:bCs/>
              </w:rPr>
              <w:t>Effectiveness</w:t>
            </w:r>
            <w:r w:rsidRPr="007C4D90">
              <w:rPr>
                <w:b/>
                <w:bCs/>
              </w:rPr>
              <w:t xml:space="preserve"> of Protected Areas</w:t>
            </w:r>
          </w:p>
        </w:tc>
      </w:tr>
      <w:tr w:rsidR="008A1B52" w:rsidRPr="007C4D90" w:rsidTr="008A1B52">
        <w:trPr>
          <w:trHeight w:val="720"/>
        </w:trPr>
        <w:tc>
          <w:tcPr>
            <w:tcW w:w="2898" w:type="dxa"/>
            <w:hideMark/>
          </w:tcPr>
          <w:p w:rsidR="008A1B52" w:rsidRPr="007C4D90" w:rsidRDefault="008A1B52">
            <w:r w:rsidRPr="007C4D90">
              <w:t xml:space="preserve">No net loss of mangrove coverage </w:t>
            </w:r>
          </w:p>
        </w:tc>
        <w:tc>
          <w:tcPr>
            <w:tcW w:w="3150" w:type="dxa"/>
            <w:hideMark/>
          </w:tcPr>
          <w:p w:rsidR="008A1B52" w:rsidRPr="007C4D90" w:rsidRDefault="008A1B52">
            <w:r w:rsidRPr="007C4D90">
              <w:t>Mangrove coverage in hectares/reported areas of mangrove destruction</w:t>
            </w:r>
          </w:p>
        </w:tc>
        <w:tc>
          <w:tcPr>
            <w:tcW w:w="1440" w:type="dxa"/>
            <w:hideMark/>
          </w:tcPr>
          <w:p w:rsidR="008A1B52" w:rsidRPr="007C4D90" w:rsidRDefault="008A1B52">
            <w:r w:rsidRPr="007C4D90">
              <w:t>TNC GIS</w:t>
            </w:r>
          </w:p>
        </w:tc>
        <w:tc>
          <w:tcPr>
            <w:tcW w:w="1295" w:type="dxa"/>
            <w:hideMark/>
          </w:tcPr>
          <w:p w:rsidR="008A1B52" w:rsidRPr="007C4D90" w:rsidRDefault="008A1B52">
            <w:r w:rsidRPr="007C4D90">
              <w:t>Yearly</w:t>
            </w:r>
          </w:p>
        </w:tc>
        <w:tc>
          <w:tcPr>
            <w:tcW w:w="1405" w:type="dxa"/>
            <w:noWrap/>
            <w:hideMark/>
          </w:tcPr>
          <w:p w:rsidR="008A1B52" w:rsidRPr="007C4D90" w:rsidRDefault="008A1B52">
            <w:r w:rsidRPr="007C4D90">
              <w:t> </w:t>
            </w:r>
          </w:p>
        </w:tc>
        <w:tc>
          <w:tcPr>
            <w:tcW w:w="2250" w:type="dxa"/>
            <w:hideMark/>
          </w:tcPr>
          <w:p w:rsidR="008A1B52" w:rsidRPr="007C4D90" w:rsidRDefault="008A1B52">
            <w:r w:rsidRPr="007C4D90">
              <w:t> </w:t>
            </w:r>
          </w:p>
        </w:tc>
      </w:tr>
      <w:tr w:rsidR="008A1B52" w:rsidRPr="007C4D90" w:rsidTr="008A1B52">
        <w:trPr>
          <w:trHeight w:val="1500"/>
        </w:trPr>
        <w:tc>
          <w:tcPr>
            <w:tcW w:w="2898" w:type="dxa"/>
            <w:hideMark/>
          </w:tcPr>
          <w:p w:rsidR="008A1B52" w:rsidRPr="007C4D90" w:rsidRDefault="008A1B52">
            <w:r w:rsidRPr="007C4D90">
              <w:t>Sustainable fisheries strategy reduces unsustainable fisheries practices through a decrease in effort and a decrease in use of unsustainable gear and a change in techniques by 2015</w:t>
            </w:r>
          </w:p>
        </w:tc>
        <w:tc>
          <w:tcPr>
            <w:tcW w:w="3150" w:type="dxa"/>
            <w:hideMark/>
          </w:tcPr>
          <w:p w:rsidR="008A1B52" w:rsidRPr="007C4D90" w:rsidRDefault="008A1B52">
            <w:r w:rsidRPr="007C4D90">
              <w:t>biological measure/catch per unit effort/gear types uses/fishing effort</w:t>
            </w:r>
          </w:p>
        </w:tc>
        <w:tc>
          <w:tcPr>
            <w:tcW w:w="1440" w:type="dxa"/>
            <w:hideMark/>
          </w:tcPr>
          <w:p w:rsidR="008A1B52" w:rsidRPr="007C4D90" w:rsidRDefault="003B2351">
            <w:r>
              <w:t>S</w:t>
            </w:r>
            <w:r w:rsidR="00633993">
              <w:t>taff at the vice-ministry of Coastal and Marine Resources</w:t>
            </w:r>
          </w:p>
        </w:tc>
        <w:tc>
          <w:tcPr>
            <w:tcW w:w="1295" w:type="dxa"/>
            <w:hideMark/>
          </w:tcPr>
          <w:p w:rsidR="008A1B52" w:rsidRPr="007C4D90" w:rsidRDefault="008A1B52">
            <w:r w:rsidRPr="007C4D90">
              <w:t>Everyday reporting and monthly summaries</w:t>
            </w:r>
          </w:p>
        </w:tc>
        <w:tc>
          <w:tcPr>
            <w:tcW w:w="1405" w:type="dxa"/>
            <w:noWrap/>
            <w:hideMark/>
          </w:tcPr>
          <w:p w:rsidR="008A1B52" w:rsidRPr="007C4D90" w:rsidRDefault="008A1B52">
            <w:r w:rsidRPr="007C4D90">
              <w:t> </w:t>
            </w:r>
          </w:p>
        </w:tc>
        <w:tc>
          <w:tcPr>
            <w:tcW w:w="2250" w:type="dxa"/>
            <w:hideMark/>
          </w:tcPr>
          <w:p w:rsidR="008A1B52" w:rsidRPr="007C4D90" w:rsidRDefault="008A1B52">
            <w:r w:rsidRPr="007C4D90">
              <w:t> </w:t>
            </w:r>
          </w:p>
        </w:tc>
      </w:tr>
    </w:tbl>
    <w:p w:rsidR="002D5408" w:rsidRDefault="002D5408">
      <w:pPr>
        <w:rPr>
          <w:lang w:val="en-029"/>
        </w:rPr>
      </w:pPr>
    </w:p>
    <w:p w:rsidR="002D5408" w:rsidRDefault="002D5408">
      <w:pPr>
        <w:rPr>
          <w:lang w:val="en-029"/>
        </w:rPr>
      </w:pPr>
      <w:r>
        <w:rPr>
          <w:lang w:val="en-029"/>
        </w:rPr>
        <w:br w:type="page"/>
      </w:r>
    </w:p>
    <w:p w:rsidR="0009007D" w:rsidRDefault="0009007D" w:rsidP="0009007D">
      <w:pPr>
        <w:pStyle w:val="Heading1"/>
        <w:rPr>
          <w:lang w:val="en-029"/>
        </w:rPr>
      </w:pPr>
      <w:bookmarkStart w:id="26" w:name="_Toc295219033"/>
      <w:r>
        <w:rPr>
          <w:lang w:val="en-029"/>
        </w:rPr>
        <w:lastRenderedPageBreak/>
        <w:t xml:space="preserve">Appendix III: </w:t>
      </w:r>
      <w:r w:rsidR="00F9702A">
        <w:rPr>
          <w:lang w:val="en-029"/>
        </w:rPr>
        <w:t xml:space="preserve">Caribbean Challenge Initiative </w:t>
      </w:r>
      <w:r>
        <w:rPr>
          <w:lang w:val="en-029"/>
        </w:rPr>
        <w:t>implementation in the Bahamas</w:t>
      </w:r>
      <w:bookmarkEnd w:id="26"/>
    </w:p>
    <w:p w:rsidR="00F060CA" w:rsidRDefault="00F060CA">
      <w:pPr>
        <w:rPr>
          <w:lang w:val="en-029"/>
        </w:rPr>
      </w:pPr>
    </w:p>
    <w:p w:rsidR="00676AED" w:rsidRDefault="00676AED" w:rsidP="00676AED">
      <w:pPr>
        <w:pStyle w:val="Caption"/>
        <w:keepNext/>
      </w:pPr>
      <w:r w:rsidRPr="00642C25">
        <w:t xml:space="preserve">Objectives and Indicators for </w:t>
      </w:r>
      <w:r w:rsidR="00F9702A">
        <w:t xml:space="preserve">Caribbean Challenge Initiative </w:t>
      </w:r>
      <w:r w:rsidRPr="00642C25">
        <w:t>implemen</w:t>
      </w:r>
      <w:r>
        <w:t>tation in the Bahamas</w:t>
      </w:r>
    </w:p>
    <w:tbl>
      <w:tblPr>
        <w:tblStyle w:val="TableGrid"/>
        <w:tblW w:w="0" w:type="auto"/>
        <w:tblLook w:val="04A0"/>
      </w:tblPr>
      <w:tblGrid>
        <w:gridCol w:w="3078"/>
        <w:gridCol w:w="2790"/>
        <w:gridCol w:w="1440"/>
        <w:gridCol w:w="1440"/>
        <w:gridCol w:w="1868"/>
        <w:gridCol w:w="2560"/>
      </w:tblGrid>
      <w:tr w:rsidR="00676AED" w:rsidRPr="00676AED" w:rsidTr="00676AED">
        <w:trPr>
          <w:trHeight w:val="315"/>
          <w:tblHeader/>
        </w:trPr>
        <w:tc>
          <w:tcPr>
            <w:tcW w:w="3078" w:type="dxa"/>
            <w:hideMark/>
          </w:tcPr>
          <w:p w:rsidR="00676AED" w:rsidRPr="00676AED" w:rsidRDefault="00676AED" w:rsidP="00676AED">
            <w:pPr>
              <w:rPr>
                <w:b/>
                <w:bCs/>
              </w:rPr>
            </w:pPr>
            <w:r w:rsidRPr="00676AED">
              <w:rPr>
                <w:b/>
                <w:bCs/>
              </w:rPr>
              <w:t xml:space="preserve">Objective </w:t>
            </w:r>
          </w:p>
        </w:tc>
        <w:tc>
          <w:tcPr>
            <w:tcW w:w="2790" w:type="dxa"/>
            <w:hideMark/>
          </w:tcPr>
          <w:p w:rsidR="00676AED" w:rsidRPr="00676AED" w:rsidRDefault="00676AED" w:rsidP="00676AED">
            <w:pPr>
              <w:rPr>
                <w:b/>
                <w:bCs/>
              </w:rPr>
            </w:pPr>
            <w:r w:rsidRPr="00676AED">
              <w:rPr>
                <w:b/>
                <w:bCs/>
              </w:rPr>
              <w:t>Indicators</w:t>
            </w:r>
          </w:p>
        </w:tc>
        <w:tc>
          <w:tcPr>
            <w:tcW w:w="1440" w:type="dxa"/>
            <w:hideMark/>
          </w:tcPr>
          <w:p w:rsidR="00676AED" w:rsidRPr="00676AED" w:rsidRDefault="00676AED" w:rsidP="00676AED">
            <w:pPr>
              <w:rPr>
                <w:b/>
                <w:bCs/>
              </w:rPr>
            </w:pPr>
            <w:r w:rsidRPr="00676AED">
              <w:rPr>
                <w:b/>
                <w:bCs/>
              </w:rPr>
              <w:t>Who monitors</w:t>
            </w:r>
          </w:p>
        </w:tc>
        <w:tc>
          <w:tcPr>
            <w:tcW w:w="1440" w:type="dxa"/>
            <w:hideMark/>
          </w:tcPr>
          <w:p w:rsidR="00676AED" w:rsidRPr="00676AED" w:rsidRDefault="00676AED" w:rsidP="00676AED">
            <w:pPr>
              <w:rPr>
                <w:b/>
                <w:bCs/>
              </w:rPr>
            </w:pPr>
            <w:r w:rsidRPr="00676AED">
              <w:rPr>
                <w:b/>
                <w:bCs/>
              </w:rPr>
              <w:t>Frequency</w:t>
            </w:r>
          </w:p>
        </w:tc>
        <w:tc>
          <w:tcPr>
            <w:tcW w:w="1868" w:type="dxa"/>
            <w:noWrap/>
            <w:hideMark/>
          </w:tcPr>
          <w:p w:rsidR="00676AED" w:rsidRPr="00676AED" w:rsidRDefault="00676AED" w:rsidP="00676AED">
            <w:pPr>
              <w:rPr>
                <w:b/>
                <w:bCs/>
              </w:rPr>
            </w:pPr>
            <w:r w:rsidRPr="00676AED">
              <w:rPr>
                <w:b/>
                <w:bCs/>
              </w:rPr>
              <w:t>Audience</w:t>
            </w:r>
          </w:p>
        </w:tc>
        <w:tc>
          <w:tcPr>
            <w:tcW w:w="2560" w:type="dxa"/>
            <w:noWrap/>
            <w:hideMark/>
          </w:tcPr>
          <w:p w:rsidR="00676AED" w:rsidRPr="00676AED" w:rsidRDefault="00676AED" w:rsidP="00676AED">
            <w:pPr>
              <w:rPr>
                <w:b/>
                <w:bCs/>
              </w:rPr>
            </w:pPr>
            <w:r w:rsidRPr="00676AED">
              <w:rPr>
                <w:b/>
                <w:bCs/>
              </w:rPr>
              <w:t>Decision-making trigger</w:t>
            </w:r>
          </w:p>
        </w:tc>
      </w:tr>
      <w:tr w:rsidR="00676AED" w:rsidRPr="00676AED" w:rsidTr="00340FD8">
        <w:trPr>
          <w:trHeight w:val="315"/>
        </w:trPr>
        <w:tc>
          <w:tcPr>
            <w:tcW w:w="13176" w:type="dxa"/>
            <w:gridSpan w:val="6"/>
            <w:hideMark/>
          </w:tcPr>
          <w:p w:rsidR="00676AED" w:rsidRPr="00676AED" w:rsidRDefault="00676AED" w:rsidP="00676AED">
            <w:pPr>
              <w:rPr>
                <w:b/>
                <w:bCs/>
              </w:rPr>
            </w:pPr>
            <w:r>
              <w:rPr>
                <w:b/>
                <w:bCs/>
              </w:rPr>
              <w:t xml:space="preserve">National Strategy </w:t>
            </w:r>
            <w:r w:rsidRPr="00676AED">
              <w:rPr>
                <w:b/>
                <w:bCs/>
              </w:rPr>
              <w:t>Sustainable Financing of PAs: Establish dedicated and permanent sources of funding to improve management effectiveness within Caribbean Protected Areas.</w:t>
            </w:r>
          </w:p>
        </w:tc>
      </w:tr>
      <w:tr w:rsidR="00676AED" w:rsidRPr="00676AED" w:rsidTr="00676AED">
        <w:trPr>
          <w:trHeight w:val="2550"/>
        </w:trPr>
        <w:tc>
          <w:tcPr>
            <w:tcW w:w="3078" w:type="dxa"/>
            <w:hideMark/>
          </w:tcPr>
          <w:p w:rsidR="00676AED" w:rsidRPr="00676AED" w:rsidRDefault="00676AED">
            <w:r w:rsidRPr="006133B7">
              <w:rPr>
                <w:lang w:val="en-029"/>
              </w:rPr>
              <w:t xml:space="preserve">By May 2012, bylaws for Bahamas Protected Area Fund </w:t>
            </w:r>
            <w:r w:rsidR="00A94A83">
              <w:rPr>
                <w:lang w:val="en-029"/>
              </w:rPr>
              <w:t>conform to</w:t>
            </w:r>
            <w:r w:rsidRPr="006133B7">
              <w:rPr>
                <w:lang w:val="en-029"/>
              </w:rPr>
              <w:t xml:space="preserve"> CBF stipulations.</w:t>
            </w:r>
          </w:p>
        </w:tc>
        <w:tc>
          <w:tcPr>
            <w:tcW w:w="2790" w:type="dxa"/>
            <w:hideMark/>
          </w:tcPr>
          <w:p w:rsidR="00676AED" w:rsidRPr="00676AED" w:rsidRDefault="00676AED">
            <w:r w:rsidRPr="00676AED">
              <w:t>Signed vertical agreement b/w CBF and Bahamas Protected Area Fund.</w:t>
            </w:r>
          </w:p>
        </w:tc>
        <w:tc>
          <w:tcPr>
            <w:tcW w:w="1440" w:type="dxa"/>
            <w:hideMark/>
          </w:tcPr>
          <w:p w:rsidR="00676AED" w:rsidRPr="00676AED" w:rsidRDefault="00676AED">
            <w:r w:rsidRPr="00676AED">
              <w:t>Eleanor (TNC)</w:t>
            </w:r>
          </w:p>
        </w:tc>
        <w:tc>
          <w:tcPr>
            <w:tcW w:w="1440" w:type="dxa"/>
            <w:hideMark/>
          </w:tcPr>
          <w:p w:rsidR="00676AED" w:rsidRPr="00676AED" w:rsidRDefault="00676AED">
            <w:r w:rsidRPr="00676AED">
              <w:t>Once</w:t>
            </w:r>
          </w:p>
        </w:tc>
        <w:tc>
          <w:tcPr>
            <w:tcW w:w="1868" w:type="dxa"/>
            <w:hideMark/>
          </w:tcPr>
          <w:p w:rsidR="00676AED" w:rsidRPr="00676AED" w:rsidRDefault="00676AED">
            <w:r w:rsidRPr="00676AED">
              <w:t>NISP partners, other conservation NGOs (develop communications plan), report to CBF, cabinet level decision-makers, within TNC (executive team of Caribbean OU)</w:t>
            </w:r>
          </w:p>
        </w:tc>
        <w:tc>
          <w:tcPr>
            <w:tcW w:w="2560" w:type="dxa"/>
            <w:hideMark/>
          </w:tcPr>
          <w:p w:rsidR="00676AED" w:rsidRPr="00676AED" w:rsidRDefault="00676AED">
            <w:r w:rsidRPr="00676AED">
              <w:t>Fulfilling full-size project is required. If signatures at local level are not procured, then the CBF is a no-go.</w:t>
            </w:r>
          </w:p>
        </w:tc>
      </w:tr>
      <w:tr w:rsidR="00676AED" w:rsidRPr="00676AED" w:rsidTr="00676AED">
        <w:trPr>
          <w:trHeight w:val="1095"/>
        </w:trPr>
        <w:tc>
          <w:tcPr>
            <w:tcW w:w="3078" w:type="dxa"/>
            <w:vMerge w:val="restart"/>
            <w:hideMark/>
          </w:tcPr>
          <w:p w:rsidR="00676AED" w:rsidRPr="00676AED" w:rsidRDefault="00676AED">
            <w:r w:rsidRPr="00676AED">
              <w:t xml:space="preserve">Parliament passes legislation to create the BPAF by end of 2012. </w:t>
            </w:r>
          </w:p>
        </w:tc>
        <w:tc>
          <w:tcPr>
            <w:tcW w:w="2790" w:type="dxa"/>
            <w:hideMark/>
          </w:tcPr>
          <w:p w:rsidR="00676AED" w:rsidRPr="00676AED" w:rsidRDefault="00676AED">
            <w:r w:rsidRPr="00676AED">
              <w:t xml:space="preserve">Support for the BPAF from major political parties (shown by inclusion in manifestos) </w:t>
            </w:r>
          </w:p>
        </w:tc>
        <w:tc>
          <w:tcPr>
            <w:tcW w:w="1440" w:type="dxa"/>
            <w:hideMark/>
          </w:tcPr>
          <w:p w:rsidR="00676AED" w:rsidRPr="00676AED" w:rsidRDefault="00676AED">
            <w:r w:rsidRPr="00676AED">
              <w:t>Eleanor (TNC)</w:t>
            </w:r>
          </w:p>
        </w:tc>
        <w:tc>
          <w:tcPr>
            <w:tcW w:w="1440" w:type="dxa"/>
            <w:hideMark/>
          </w:tcPr>
          <w:p w:rsidR="00676AED" w:rsidRPr="00676AED" w:rsidRDefault="00676AED">
            <w:r w:rsidRPr="00676AED">
              <w:t>Once</w:t>
            </w:r>
          </w:p>
        </w:tc>
        <w:tc>
          <w:tcPr>
            <w:tcW w:w="1868" w:type="dxa"/>
            <w:hideMark/>
          </w:tcPr>
          <w:p w:rsidR="00676AED" w:rsidRPr="00676AED" w:rsidRDefault="00676AED">
            <w:r w:rsidRPr="00676AED">
              <w:t>Bahamian, CBF, Caribbean OU</w:t>
            </w:r>
          </w:p>
        </w:tc>
        <w:tc>
          <w:tcPr>
            <w:tcW w:w="2560" w:type="dxa"/>
            <w:hideMark/>
          </w:tcPr>
          <w:p w:rsidR="00676AED" w:rsidRPr="00676AED" w:rsidRDefault="00676AED">
            <w:r w:rsidRPr="00676AED">
              <w:t>Go/no-go.</w:t>
            </w:r>
          </w:p>
        </w:tc>
      </w:tr>
      <w:tr w:rsidR="00676AED" w:rsidRPr="00676AED" w:rsidTr="00676AED">
        <w:trPr>
          <w:trHeight w:val="1095"/>
        </w:trPr>
        <w:tc>
          <w:tcPr>
            <w:tcW w:w="3078" w:type="dxa"/>
            <w:vMerge/>
            <w:hideMark/>
          </w:tcPr>
          <w:p w:rsidR="00676AED" w:rsidRPr="00676AED" w:rsidRDefault="00676AED"/>
        </w:tc>
        <w:tc>
          <w:tcPr>
            <w:tcW w:w="2790" w:type="dxa"/>
            <w:hideMark/>
          </w:tcPr>
          <w:p w:rsidR="00676AED" w:rsidRPr="00676AED" w:rsidRDefault="00676AED">
            <w:r w:rsidRPr="00676AED">
              <w:t>BPAF legislation included on the parliamentary agenda</w:t>
            </w:r>
          </w:p>
        </w:tc>
        <w:tc>
          <w:tcPr>
            <w:tcW w:w="1440" w:type="dxa"/>
            <w:hideMark/>
          </w:tcPr>
          <w:p w:rsidR="00676AED" w:rsidRPr="00676AED" w:rsidRDefault="00676AED">
            <w:r w:rsidRPr="00676AED">
              <w:t>Eleanor (TNC)</w:t>
            </w:r>
          </w:p>
        </w:tc>
        <w:tc>
          <w:tcPr>
            <w:tcW w:w="1440" w:type="dxa"/>
            <w:hideMark/>
          </w:tcPr>
          <w:p w:rsidR="00676AED" w:rsidRPr="00676AED" w:rsidRDefault="00676AED">
            <w:r w:rsidRPr="00676AED">
              <w:t xml:space="preserve">Monthly </w:t>
            </w:r>
          </w:p>
        </w:tc>
        <w:tc>
          <w:tcPr>
            <w:tcW w:w="1868" w:type="dxa"/>
            <w:hideMark/>
          </w:tcPr>
          <w:p w:rsidR="00676AED" w:rsidRPr="00676AED" w:rsidRDefault="00676AED">
            <w:r w:rsidRPr="00676AED">
              <w:t>Bahamian, CBF, Caribbean OU</w:t>
            </w:r>
          </w:p>
        </w:tc>
        <w:tc>
          <w:tcPr>
            <w:tcW w:w="2560" w:type="dxa"/>
            <w:hideMark/>
          </w:tcPr>
          <w:p w:rsidR="00676AED" w:rsidRPr="00676AED" w:rsidRDefault="00676AED">
            <w:r w:rsidRPr="00676AED">
              <w:t>If BPAF not on parliamentary agenda by April 2012, need to revisit XA strategy.</w:t>
            </w:r>
          </w:p>
        </w:tc>
      </w:tr>
      <w:tr w:rsidR="00676AED" w:rsidRPr="00676AED" w:rsidTr="00676AED">
        <w:trPr>
          <w:trHeight w:val="1200"/>
        </w:trPr>
        <w:tc>
          <w:tcPr>
            <w:tcW w:w="3078" w:type="dxa"/>
            <w:vMerge w:val="restart"/>
            <w:hideMark/>
          </w:tcPr>
          <w:p w:rsidR="00676AED" w:rsidRPr="00676AED" w:rsidRDefault="00676AED">
            <w:r w:rsidRPr="00676AED">
              <w:t xml:space="preserve">By 2015, the full local revenue </w:t>
            </w:r>
            <w:r w:rsidR="006133B7" w:rsidRPr="00676AED">
              <w:t>match to CBF proceeds goes</w:t>
            </w:r>
            <w:r w:rsidRPr="00676AED">
              <w:t xml:space="preserve"> to Bahamas Protected Areas Fund. </w:t>
            </w:r>
          </w:p>
        </w:tc>
        <w:tc>
          <w:tcPr>
            <w:tcW w:w="2790" w:type="dxa"/>
            <w:hideMark/>
          </w:tcPr>
          <w:p w:rsidR="00676AED" w:rsidRPr="00676AED" w:rsidRDefault="00676AED">
            <w:r w:rsidRPr="00676AED">
              <w:t xml:space="preserve">Local revenue agreements in place generating </w:t>
            </w:r>
            <w:r w:rsidRPr="00676AED">
              <w:rPr>
                <w:i/>
                <w:iCs/>
              </w:rPr>
              <w:t>x</w:t>
            </w:r>
            <w:r w:rsidRPr="00676AED">
              <w:t xml:space="preserve">% of $500k match. </w:t>
            </w:r>
          </w:p>
        </w:tc>
        <w:tc>
          <w:tcPr>
            <w:tcW w:w="1440" w:type="dxa"/>
            <w:hideMark/>
          </w:tcPr>
          <w:p w:rsidR="00676AED" w:rsidRPr="00676AED" w:rsidRDefault="00676AED">
            <w:r w:rsidRPr="00676AED">
              <w:t>NISP partners</w:t>
            </w:r>
          </w:p>
        </w:tc>
        <w:tc>
          <w:tcPr>
            <w:tcW w:w="1440" w:type="dxa"/>
            <w:hideMark/>
          </w:tcPr>
          <w:p w:rsidR="00676AED" w:rsidRPr="00676AED" w:rsidRDefault="00676AED">
            <w:r w:rsidRPr="00676AED">
              <w:t>Quarterly at NISP meetings</w:t>
            </w:r>
          </w:p>
        </w:tc>
        <w:tc>
          <w:tcPr>
            <w:tcW w:w="1868" w:type="dxa"/>
            <w:hideMark/>
          </w:tcPr>
          <w:p w:rsidR="00676AED" w:rsidRPr="00676AED" w:rsidRDefault="00676AED">
            <w:r w:rsidRPr="00676AED">
              <w:t>Very limited, NISP partners</w:t>
            </w:r>
          </w:p>
        </w:tc>
        <w:tc>
          <w:tcPr>
            <w:tcW w:w="2560" w:type="dxa"/>
            <w:hideMark/>
          </w:tcPr>
          <w:p w:rsidR="00676AED" w:rsidRPr="00676AED" w:rsidRDefault="00676AED">
            <w:r w:rsidRPr="00676AED">
              <w:t xml:space="preserve">By end of 2013 if no agreements place to generate 30% of match. </w:t>
            </w:r>
          </w:p>
        </w:tc>
      </w:tr>
      <w:tr w:rsidR="00676AED" w:rsidRPr="00676AED" w:rsidTr="00676AED">
        <w:trPr>
          <w:trHeight w:val="1200"/>
        </w:trPr>
        <w:tc>
          <w:tcPr>
            <w:tcW w:w="3078" w:type="dxa"/>
            <w:vMerge/>
            <w:hideMark/>
          </w:tcPr>
          <w:p w:rsidR="00676AED" w:rsidRPr="00676AED" w:rsidRDefault="00676AED"/>
        </w:tc>
        <w:tc>
          <w:tcPr>
            <w:tcW w:w="2790" w:type="dxa"/>
            <w:hideMark/>
          </w:tcPr>
          <w:p w:rsidR="00676AED" w:rsidRPr="00676AED" w:rsidRDefault="00676AED">
            <w:r w:rsidRPr="00676AED">
              <w:t>$500k match amount generated by 2015</w:t>
            </w:r>
          </w:p>
        </w:tc>
        <w:tc>
          <w:tcPr>
            <w:tcW w:w="1440" w:type="dxa"/>
            <w:hideMark/>
          </w:tcPr>
          <w:p w:rsidR="00676AED" w:rsidRPr="00676AED" w:rsidRDefault="00676AED">
            <w:r w:rsidRPr="00676AED">
              <w:t>NISP partners</w:t>
            </w:r>
          </w:p>
        </w:tc>
        <w:tc>
          <w:tcPr>
            <w:tcW w:w="1440" w:type="dxa"/>
            <w:hideMark/>
          </w:tcPr>
          <w:p w:rsidR="00676AED" w:rsidRPr="00676AED" w:rsidRDefault="00676AED">
            <w:r w:rsidRPr="00676AED">
              <w:t>Once</w:t>
            </w:r>
          </w:p>
        </w:tc>
        <w:tc>
          <w:tcPr>
            <w:tcW w:w="1868" w:type="dxa"/>
            <w:hideMark/>
          </w:tcPr>
          <w:p w:rsidR="00676AED" w:rsidRPr="00676AED" w:rsidRDefault="00676AED">
            <w:r w:rsidRPr="00676AED">
              <w:t xml:space="preserve">NISP partners, </w:t>
            </w:r>
            <w:r w:rsidR="005E76BA" w:rsidRPr="00676AED">
              <w:t>Minister</w:t>
            </w:r>
            <w:r w:rsidRPr="00676AED">
              <w:t xml:space="preserve"> of Environment, Bahamas Protected Area Fund board, CBF, </w:t>
            </w:r>
            <w:r w:rsidR="00F9702A">
              <w:t xml:space="preserve">Caribbean Challenge Initiative </w:t>
            </w:r>
            <w:r w:rsidRPr="00676AED">
              <w:t xml:space="preserve">ET </w:t>
            </w:r>
          </w:p>
        </w:tc>
        <w:tc>
          <w:tcPr>
            <w:tcW w:w="2560" w:type="dxa"/>
            <w:hideMark/>
          </w:tcPr>
          <w:p w:rsidR="00676AED" w:rsidRPr="00676AED" w:rsidRDefault="00676AED">
            <w:r w:rsidRPr="00676AED">
              <w:t>If we are not generating the match, we need to change course</w:t>
            </w:r>
          </w:p>
        </w:tc>
      </w:tr>
      <w:tr w:rsidR="00676AED" w:rsidRPr="00676AED" w:rsidTr="00676AED">
        <w:trPr>
          <w:trHeight w:val="1395"/>
        </w:trPr>
        <w:tc>
          <w:tcPr>
            <w:tcW w:w="3078" w:type="dxa"/>
            <w:hideMark/>
          </w:tcPr>
          <w:p w:rsidR="00676AED" w:rsidRPr="00676AED" w:rsidRDefault="00676AED">
            <w:r w:rsidRPr="00676AED">
              <w:t>By 2014, $4 million in TNC and national match commitments for  co-financing Bahamian GEF full-sized projects met</w:t>
            </w:r>
          </w:p>
        </w:tc>
        <w:tc>
          <w:tcPr>
            <w:tcW w:w="2790" w:type="dxa"/>
            <w:hideMark/>
          </w:tcPr>
          <w:p w:rsidR="00676AED" w:rsidRPr="00676AED" w:rsidRDefault="00676AED">
            <w:r w:rsidRPr="00676AED">
              <w:t>Amount of GEF NISP match commitment raised by December 2014</w:t>
            </w:r>
          </w:p>
        </w:tc>
        <w:tc>
          <w:tcPr>
            <w:tcW w:w="1440" w:type="dxa"/>
            <w:hideMark/>
          </w:tcPr>
          <w:p w:rsidR="00676AED" w:rsidRPr="00676AED" w:rsidRDefault="00676AED">
            <w:r w:rsidRPr="00676AED">
              <w:t>Kathleen (TNC), UNEP, GEF financial audits</w:t>
            </w:r>
          </w:p>
        </w:tc>
        <w:tc>
          <w:tcPr>
            <w:tcW w:w="1440" w:type="dxa"/>
            <w:hideMark/>
          </w:tcPr>
          <w:p w:rsidR="00676AED" w:rsidRPr="00676AED" w:rsidRDefault="00676AED">
            <w:r w:rsidRPr="00676AED">
              <w:t>Quarterly</w:t>
            </w:r>
          </w:p>
        </w:tc>
        <w:tc>
          <w:tcPr>
            <w:tcW w:w="1868" w:type="dxa"/>
            <w:hideMark/>
          </w:tcPr>
          <w:p w:rsidR="00676AED" w:rsidRPr="00676AED" w:rsidRDefault="00676AED">
            <w:r w:rsidRPr="00676AED">
              <w:t>Roll up to Best Commission, UNEP, GEF</w:t>
            </w:r>
          </w:p>
        </w:tc>
        <w:tc>
          <w:tcPr>
            <w:tcW w:w="2560" w:type="dxa"/>
            <w:hideMark/>
          </w:tcPr>
          <w:p w:rsidR="00676AED" w:rsidRPr="00676AED" w:rsidRDefault="00676AED">
            <w:r w:rsidRPr="00676AED">
              <w:t>Lack of implementation or failure to meet specified interim dates as specified in agreement</w:t>
            </w:r>
          </w:p>
        </w:tc>
      </w:tr>
      <w:tr w:rsidR="00676AED" w:rsidRPr="00676AED" w:rsidTr="00676AED">
        <w:trPr>
          <w:trHeight w:val="647"/>
        </w:trPr>
        <w:tc>
          <w:tcPr>
            <w:tcW w:w="13176" w:type="dxa"/>
            <w:gridSpan w:val="6"/>
            <w:hideMark/>
          </w:tcPr>
          <w:p w:rsidR="00676AED" w:rsidRPr="00676AED" w:rsidRDefault="00676AED">
            <w:r>
              <w:rPr>
                <w:b/>
              </w:rPr>
              <w:t>National</w:t>
            </w:r>
            <w:r w:rsidRPr="00676AED">
              <w:rPr>
                <w:b/>
              </w:rPr>
              <w:t xml:space="preserve"> Strategy: Increase </w:t>
            </w:r>
            <w:r w:rsidR="00861771">
              <w:rPr>
                <w:b/>
              </w:rPr>
              <w:t xml:space="preserve">effectiveness </w:t>
            </w:r>
            <w:r w:rsidRPr="00676AED">
              <w:rPr>
                <w:b/>
              </w:rPr>
              <w:t xml:space="preserve">and Caribbean Protected Area </w:t>
            </w:r>
            <w:r w:rsidR="00861771">
              <w:rPr>
                <w:b/>
              </w:rPr>
              <w:t>coverage</w:t>
            </w:r>
            <w:r w:rsidRPr="00676AED">
              <w:rPr>
                <w:b/>
              </w:rPr>
              <w:t xml:space="preserve"> to include at least 20 percent of nearshore </w:t>
            </w:r>
            <w:r w:rsidR="00861771">
              <w:rPr>
                <w:b/>
              </w:rPr>
              <w:t>and marine shelf habitats</w:t>
            </w:r>
            <w:r w:rsidRPr="00676AED">
              <w:rPr>
                <w:b/>
              </w:rPr>
              <w:t>.</w:t>
            </w:r>
          </w:p>
        </w:tc>
      </w:tr>
      <w:tr w:rsidR="00676AED" w:rsidRPr="00676AED" w:rsidTr="00676AED">
        <w:trPr>
          <w:trHeight w:val="1245"/>
        </w:trPr>
        <w:tc>
          <w:tcPr>
            <w:tcW w:w="3078" w:type="dxa"/>
            <w:vMerge w:val="restart"/>
            <w:hideMark/>
          </w:tcPr>
          <w:p w:rsidR="00676AED" w:rsidRPr="00676AED" w:rsidRDefault="00676AED">
            <w:r w:rsidRPr="00676AED">
              <w:t>These incremental numbers need to be refined and made reasonable [by Eleanor]: By December 2015 (10%) and 2020 (20%) of coastal and nearshore habitat to the 200m bathymetric line is under legal protection.</w:t>
            </w:r>
          </w:p>
        </w:tc>
        <w:tc>
          <w:tcPr>
            <w:tcW w:w="2790" w:type="dxa"/>
            <w:hideMark/>
          </w:tcPr>
          <w:p w:rsidR="00676AED" w:rsidRPr="00676AED" w:rsidRDefault="00676AED">
            <w:r w:rsidRPr="00676AED">
              <w:t>Hectares of coastal and nearshore habitat proposed and in the pipeline to be protected</w:t>
            </w:r>
          </w:p>
        </w:tc>
        <w:tc>
          <w:tcPr>
            <w:tcW w:w="1440" w:type="dxa"/>
            <w:hideMark/>
          </w:tcPr>
          <w:p w:rsidR="00676AED" w:rsidRPr="00676AED" w:rsidRDefault="00676AED">
            <w:r w:rsidRPr="00676AED">
              <w:t>TNC Caribbean GIS- John Knowles</w:t>
            </w:r>
          </w:p>
        </w:tc>
        <w:tc>
          <w:tcPr>
            <w:tcW w:w="1440" w:type="dxa"/>
            <w:hideMark/>
          </w:tcPr>
          <w:p w:rsidR="00676AED" w:rsidRPr="00676AED" w:rsidRDefault="00676AED">
            <w:r w:rsidRPr="00676AED">
              <w:t>Annual</w:t>
            </w:r>
          </w:p>
        </w:tc>
        <w:tc>
          <w:tcPr>
            <w:tcW w:w="1868" w:type="dxa"/>
            <w:noWrap/>
            <w:hideMark/>
          </w:tcPr>
          <w:p w:rsidR="00676AED" w:rsidRPr="00676AED" w:rsidRDefault="00676AED">
            <w:r w:rsidRPr="00676AED">
              <w:t> </w:t>
            </w:r>
          </w:p>
        </w:tc>
        <w:tc>
          <w:tcPr>
            <w:tcW w:w="2560" w:type="dxa"/>
            <w:hideMark/>
          </w:tcPr>
          <w:p w:rsidR="00676AED" w:rsidRPr="00676AED" w:rsidRDefault="00676AED">
            <w:r w:rsidRPr="00676AED">
              <w:t>If less than 10% proposed in 2015, then revise protection strategy and objectives.</w:t>
            </w:r>
          </w:p>
        </w:tc>
      </w:tr>
      <w:tr w:rsidR="00676AED" w:rsidRPr="00676AED" w:rsidTr="00676AED">
        <w:trPr>
          <w:trHeight w:val="1245"/>
        </w:trPr>
        <w:tc>
          <w:tcPr>
            <w:tcW w:w="3078" w:type="dxa"/>
            <w:vMerge/>
            <w:hideMark/>
          </w:tcPr>
          <w:p w:rsidR="00676AED" w:rsidRPr="00676AED" w:rsidRDefault="00676AED"/>
        </w:tc>
        <w:tc>
          <w:tcPr>
            <w:tcW w:w="2790" w:type="dxa"/>
            <w:hideMark/>
          </w:tcPr>
          <w:p w:rsidR="00676AED" w:rsidRPr="00676AED" w:rsidRDefault="00676AED">
            <w:r w:rsidRPr="00676AED">
              <w:t xml:space="preserve">Hectares of coastal and nearshore habitat protected </w:t>
            </w:r>
          </w:p>
        </w:tc>
        <w:tc>
          <w:tcPr>
            <w:tcW w:w="1440" w:type="dxa"/>
            <w:hideMark/>
          </w:tcPr>
          <w:p w:rsidR="00676AED" w:rsidRPr="00676AED" w:rsidRDefault="00676AED">
            <w:r w:rsidRPr="00676AED">
              <w:t>Government of Bahamas, TNC Caribbean GIS- John Knowles</w:t>
            </w:r>
          </w:p>
        </w:tc>
        <w:tc>
          <w:tcPr>
            <w:tcW w:w="1440" w:type="dxa"/>
            <w:hideMark/>
          </w:tcPr>
          <w:p w:rsidR="00676AED" w:rsidRPr="00676AED" w:rsidRDefault="00676AED">
            <w:r w:rsidRPr="00676AED">
              <w:t>Annual</w:t>
            </w:r>
          </w:p>
        </w:tc>
        <w:tc>
          <w:tcPr>
            <w:tcW w:w="1868" w:type="dxa"/>
            <w:hideMark/>
          </w:tcPr>
          <w:p w:rsidR="00676AED" w:rsidRPr="00676AED" w:rsidRDefault="00676AED">
            <w:r w:rsidRPr="00676AED">
              <w:t>Bahamian program (TNC), NISP partners, Caribbean Programme Board</w:t>
            </w:r>
          </w:p>
        </w:tc>
        <w:tc>
          <w:tcPr>
            <w:tcW w:w="2560" w:type="dxa"/>
            <w:hideMark/>
          </w:tcPr>
          <w:p w:rsidR="00676AED" w:rsidRPr="00676AED" w:rsidRDefault="00676AED">
            <w:r w:rsidRPr="00676AED">
              <w:t>If less than 10% proposed in 2015, then revise protection strategy and objectives.</w:t>
            </w:r>
          </w:p>
        </w:tc>
      </w:tr>
      <w:tr w:rsidR="00676AED" w:rsidRPr="00676AED" w:rsidTr="00676AED">
        <w:trPr>
          <w:trHeight w:val="1155"/>
        </w:trPr>
        <w:tc>
          <w:tcPr>
            <w:tcW w:w="3078" w:type="dxa"/>
            <w:vMerge w:val="restart"/>
            <w:hideMark/>
          </w:tcPr>
          <w:p w:rsidR="00676AED" w:rsidRPr="00676AED" w:rsidRDefault="00676AED">
            <w:r w:rsidRPr="00676AED">
              <w:t xml:space="preserve">To be revisited: By 2016, Bahamian government reduces the funding gap by $2 million, in addition to contribution of $2 million to CBF (doubling </w:t>
            </w:r>
            <w:r w:rsidRPr="00676AED">
              <w:lastRenderedPageBreak/>
              <w:t xml:space="preserve">protected area resource contribution from 2008 levels) beyond BPAF to implement key strategic actions from the master plan.  </w:t>
            </w:r>
          </w:p>
        </w:tc>
        <w:tc>
          <w:tcPr>
            <w:tcW w:w="2790" w:type="dxa"/>
            <w:hideMark/>
          </w:tcPr>
          <w:p w:rsidR="00676AED" w:rsidRPr="00676AED" w:rsidRDefault="00676AED">
            <w:r w:rsidRPr="00676AED">
              <w:lastRenderedPageBreak/>
              <w:t xml:space="preserve">Amount of additional funding allocated to the Bahamas National Trust, Department of Marine Resources, and Ministry of </w:t>
            </w:r>
            <w:r w:rsidRPr="00676AED">
              <w:lastRenderedPageBreak/>
              <w:t xml:space="preserve">the Environment. </w:t>
            </w:r>
          </w:p>
        </w:tc>
        <w:tc>
          <w:tcPr>
            <w:tcW w:w="1440" w:type="dxa"/>
            <w:hideMark/>
          </w:tcPr>
          <w:p w:rsidR="00676AED" w:rsidRPr="00676AED" w:rsidRDefault="00676AED">
            <w:r w:rsidRPr="00676AED">
              <w:lastRenderedPageBreak/>
              <w:t>Ministry of Finance, DMR, MTE, TNC will pull together</w:t>
            </w:r>
          </w:p>
        </w:tc>
        <w:tc>
          <w:tcPr>
            <w:tcW w:w="1440" w:type="dxa"/>
            <w:hideMark/>
          </w:tcPr>
          <w:p w:rsidR="00676AED" w:rsidRPr="00676AED" w:rsidRDefault="00676AED">
            <w:r w:rsidRPr="00676AED">
              <w:t>Annual</w:t>
            </w:r>
          </w:p>
        </w:tc>
        <w:tc>
          <w:tcPr>
            <w:tcW w:w="1868" w:type="dxa"/>
            <w:hideMark/>
          </w:tcPr>
          <w:p w:rsidR="00676AED" w:rsidRPr="00676AED" w:rsidRDefault="00676AED">
            <w:r w:rsidRPr="00676AED">
              <w:t>NISP, public, Caribbean Programme Board</w:t>
            </w:r>
          </w:p>
        </w:tc>
        <w:tc>
          <w:tcPr>
            <w:tcW w:w="2560" w:type="dxa"/>
            <w:hideMark/>
          </w:tcPr>
          <w:p w:rsidR="00676AED" w:rsidRPr="00676AED" w:rsidRDefault="00676AED">
            <w:r w:rsidRPr="00676AED">
              <w:t>Gross reduction in funding for protected areas</w:t>
            </w:r>
          </w:p>
        </w:tc>
      </w:tr>
      <w:tr w:rsidR="00676AED" w:rsidRPr="00676AED" w:rsidTr="00676AED">
        <w:trPr>
          <w:trHeight w:val="1110"/>
        </w:trPr>
        <w:tc>
          <w:tcPr>
            <w:tcW w:w="3078" w:type="dxa"/>
            <w:vMerge/>
            <w:hideMark/>
          </w:tcPr>
          <w:p w:rsidR="00676AED" w:rsidRPr="00676AED" w:rsidRDefault="00676AED"/>
        </w:tc>
        <w:tc>
          <w:tcPr>
            <w:tcW w:w="2790" w:type="dxa"/>
            <w:hideMark/>
          </w:tcPr>
          <w:p w:rsidR="00676AED" w:rsidRPr="00676AED" w:rsidRDefault="00676AED">
            <w:r w:rsidRPr="00676AED">
              <w:t>Number of new staff assigned to work in/with  MPAs</w:t>
            </w:r>
          </w:p>
        </w:tc>
        <w:tc>
          <w:tcPr>
            <w:tcW w:w="1440" w:type="dxa"/>
            <w:hideMark/>
          </w:tcPr>
          <w:p w:rsidR="00676AED" w:rsidRPr="00676AED" w:rsidRDefault="00676AED">
            <w:r w:rsidRPr="00676AED">
              <w:t>NISP committee, Eleanor</w:t>
            </w:r>
          </w:p>
        </w:tc>
        <w:tc>
          <w:tcPr>
            <w:tcW w:w="1440" w:type="dxa"/>
            <w:hideMark/>
          </w:tcPr>
          <w:p w:rsidR="00676AED" w:rsidRPr="00676AED" w:rsidRDefault="00676AED">
            <w:r w:rsidRPr="00676AED">
              <w:t>Annual</w:t>
            </w:r>
          </w:p>
        </w:tc>
        <w:tc>
          <w:tcPr>
            <w:tcW w:w="1868" w:type="dxa"/>
            <w:hideMark/>
          </w:tcPr>
          <w:p w:rsidR="00676AED" w:rsidRPr="00676AED" w:rsidRDefault="00676AED">
            <w:r w:rsidRPr="00676AED">
              <w:t>NISP, public, Caribbean Programme Board</w:t>
            </w:r>
          </w:p>
        </w:tc>
        <w:tc>
          <w:tcPr>
            <w:tcW w:w="2560" w:type="dxa"/>
            <w:hideMark/>
          </w:tcPr>
          <w:p w:rsidR="00676AED" w:rsidRPr="00676AED" w:rsidRDefault="00676AED">
            <w:r w:rsidRPr="00676AED">
              <w:t>If reductions in funding over 1 year or no increase in funding over 2 years.</w:t>
            </w:r>
          </w:p>
        </w:tc>
      </w:tr>
      <w:tr w:rsidR="00676AED" w:rsidRPr="00676AED" w:rsidTr="00676AED">
        <w:trPr>
          <w:trHeight w:val="1185"/>
        </w:trPr>
        <w:tc>
          <w:tcPr>
            <w:tcW w:w="3078" w:type="dxa"/>
            <w:hideMark/>
          </w:tcPr>
          <w:p w:rsidR="00676AED" w:rsidRPr="003B2351" w:rsidRDefault="003B2351" w:rsidP="003B2351">
            <w:r w:rsidRPr="003B2351">
              <w:rPr>
                <w:bCs/>
                <w:i/>
                <w:iCs/>
              </w:rPr>
              <w:t>A minimum of 50% of existing marine and 50% of existing terrestrial national parks and protected areas being effectively managed by 2020 (per 2008 declaration)</w:t>
            </w:r>
          </w:p>
        </w:tc>
        <w:tc>
          <w:tcPr>
            <w:tcW w:w="2790" w:type="dxa"/>
            <w:hideMark/>
          </w:tcPr>
          <w:p w:rsidR="00676AED" w:rsidRPr="00676AED" w:rsidRDefault="00676AED">
            <w:r w:rsidRPr="00676AED">
              <w:t>RAPPAM score improvement (as described in capacity assessment in master plan)</w:t>
            </w:r>
          </w:p>
        </w:tc>
        <w:tc>
          <w:tcPr>
            <w:tcW w:w="1440" w:type="dxa"/>
            <w:hideMark/>
          </w:tcPr>
          <w:p w:rsidR="00676AED" w:rsidRPr="00676AED" w:rsidRDefault="00676AED">
            <w:r w:rsidRPr="00676AED">
              <w:t>Park managers, to-be-hired TNC staff</w:t>
            </w:r>
          </w:p>
        </w:tc>
        <w:tc>
          <w:tcPr>
            <w:tcW w:w="1440" w:type="dxa"/>
            <w:hideMark/>
          </w:tcPr>
          <w:p w:rsidR="00676AED" w:rsidRPr="00676AED" w:rsidRDefault="00676AED">
            <w:r w:rsidRPr="00676AED">
              <w:t>Every 2 years (feeds into updating management plan)</w:t>
            </w:r>
          </w:p>
        </w:tc>
        <w:tc>
          <w:tcPr>
            <w:tcW w:w="1868" w:type="dxa"/>
            <w:hideMark/>
          </w:tcPr>
          <w:p w:rsidR="00676AED" w:rsidRPr="00676AED" w:rsidRDefault="00676AED">
            <w:r w:rsidRPr="00676AED">
              <w:t>Park Manager, NISP, Caribbean Programme Board</w:t>
            </w:r>
          </w:p>
        </w:tc>
        <w:tc>
          <w:tcPr>
            <w:tcW w:w="2560" w:type="dxa"/>
            <w:hideMark/>
          </w:tcPr>
          <w:p w:rsidR="00676AED" w:rsidRPr="00676AED" w:rsidRDefault="00676AED">
            <w:r w:rsidRPr="00676AED">
              <w:t>Requires more thought: If nothing changes by 2018 then we would have to adjust the strategy</w:t>
            </w:r>
          </w:p>
        </w:tc>
      </w:tr>
      <w:tr w:rsidR="00676AED" w:rsidRPr="00676AED" w:rsidTr="00676AED">
        <w:trPr>
          <w:trHeight w:val="1500"/>
        </w:trPr>
        <w:tc>
          <w:tcPr>
            <w:tcW w:w="3078" w:type="dxa"/>
            <w:hideMark/>
          </w:tcPr>
          <w:p w:rsidR="00676AED" w:rsidRPr="00676AED" w:rsidRDefault="00676AED" w:rsidP="00F11F4B">
            <w:r w:rsidRPr="00676AED">
              <w:t>By 2012, the socio-economic values of 5 MPAs (Exuma, Abaco, Bimini, Berry Islands and Andros</w:t>
            </w:r>
            <w:r w:rsidR="00F11F4B" w:rsidRPr="00676AED">
              <w:t>) are</w:t>
            </w:r>
            <w:r w:rsidRPr="00676AED">
              <w:t xml:space="preserve"> determined and incorporated into site management plans.</w:t>
            </w:r>
          </w:p>
        </w:tc>
        <w:tc>
          <w:tcPr>
            <w:tcW w:w="2790" w:type="dxa"/>
            <w:hideMark/>
          </w:tcPr>
          <w:p w:rsidR="00676AED" w:rsidRPr="00676AED" w:rsidRDefault="00676AED">
            <w:r w:rsidRPr="00676AED">
              <w:t>Assessments completed and incorporated into site management plans.</w:t>
            </w:r>
          </w:p>
        </w:tc>
        <w:tc>
          <w:tcPr>
            <w:tcW w:w="1440" w:type="dxa"/>
            <w:hideMark/>
          </w:tcPr>
          <w:p w:rsidR="00676AED" w:rsidRPr="00676AED" w:rsidRDefault="00676AED">
            <w:r w:rsidRPr="00676AED">
              <w:t>NISP partners</w:t>
            </w:r>
          </w:p>
        </w:tc>
        <w:tc>
          <w:tcPr>
            <w:tcW w:w="1440" w:type="dxa"/>
            <w:hideMark/>
          </w:tcPr>
          <w:p w:rsidR="00676AED" w:rsidRPr="00676AED" w:rsidRDefault="00676AED">
            <w:r w:rsidRPr="00676AED">
              <w:t>Once</w:t>
            </w:r>
          </w:p>
        </w:tc>
        <w:tc>
          <w:tcPr>
            <w:tcW w:w="1868" w:type="dxa"/>
            <w:hideMark/>
          </w:tcPr>
          <w:p w:rsidR="00676AED" w:rsidRPr="00676AED" w:rsidRDefault="00676AED">
            <w:r w:rsidRPr="00676AED">
              <w:t>NISP partners, government and other MPA stakeholders</w:t>
            </w:r>
          </w:p>
        </w:tc>
        <w:tc>
          <w:tcPr>
            <w:tcW w:w="2560" w:type="dxa"/>
            <w:hideMark/>
          </w:tcPr>
          <w:p w:rsidR="00676AED" w:rsidRPr="00676AED" w:rsidRDefault="00676AED">
            <w:r w:rsidRPr="00676AED">
              <w:t>No value assessments completed by end of 2012</w:t>
            </w:r>
          </w:p>
        </w:tc>
      </w:tr>
      <w:tr w:rsidR="00676AED" w:rsidRPr="00676AED" w:rsidTr="00676AED">
        <w:trPr>
          <w:trHeight w:val="1485"/>
        </w:trPr>
        <w:tc>
          <w:tcPr>
            <w:tcW w:w="3078" w:type="dxa"/>
            <w:hideMark/>
          </w:tcPr>
          <w:p w:rsidR="00676AED" w:rsidRPr="00676AED" w:rsidRDefault="00676AED">
            <w:r w:rsidRPr="00676AED">
              <w:t xml:space="preserve">By 2015, the socio-economic </w:t>
            </w:r>
            <w:r w:rsidR="00F11F4B" w:rsidRPr="00676AED">
              <w:t>impacts of the MPA enhancement/ expansion strategy on human well-being are</w:t>
            </w:r>
            <w:r w:rsidRPr="00676AED">
              <w:t xml:space="preserve"> determined in 5 MPAs (Exuma, Abaco, Bimini, Berry Islands and Andros).</w:t>
            </w:r>
          </w:p>
        </w:tc>
        <w:tc>
          <w:tcPr>
            <w:tcW w:w="2790" w:type="dxa"/>
            <w:hideMark/>
          </w:tcPr>
          <w:p w:rsidR="00676AED" w:rsidRPr="00676AED" w:rsidRDefault="00676AED">
            <w:r w:rsidRPr="00676AED">
              <w:t>Quantitative measurements of the impact of MPAs on human wellbeing and Stakeholder KAP (Knowledge, Attitudes and Perceptions) towards MPAs.</w:t>
            </w:r>
          </w:p>
        </w:tc>
        <w:tc>
          <w:tcPr>
            <w:tcW w:w="1440" w:type="dxa"/>
            <w:hideMark/>
          </w:tcPr>
          <w:p w:rsidR="00676AED" w:rsidRPr="00676AED" w:rsidRDefault="00676AED">
            <w:r w:rsidRPr="00676AED">
              <w:t>NISP partners</w:t>
            </w:r>
          </w:p>
        </w:tc>
        <w:tc>
          <w:tcPr>
            <w:tcW w:w="1440" w:type="dxa"/>
            <w:hideMark/>
          </w:tcPr>
          <w:p w:rsidR="00676AED" w:rsidRPr="00676AED" w:rsidRDefault="00676AED">
            <w:r w:rsidRPr="00676AED">
              <w:t>Every 5 years</w:t>
            </w:r>
          </w:p>
        </w:tc>
        <w:tc>
          <w:tcPr>
            <w:tcW w:w="1868" w:type="dxa"/>
            <w:hideMark/>
          </w:tcPr>
          <w:p w:rsidR="00676AED" w:rsidRPr="00676AED" w:rsidRDefault="00676AED">
            <w:r w:rsidRPr="00676AED">
              <w:t>NISP partners, government and other MPA stakeholders</w:t>
            </w:r>
          </w:p>
        </w:tc>
        <w:tc>
          <w:tcPr>
            <w:tcW w:w="2560" w:type="dxa"/>
            <w:hideMark/>
          </w:tcPr>
          <w:p w:rsidR="00676AED" w:rsidRPr="00676AED" w:rsidRDefault="00676AED">
            <w:r w:rsidRPr="00676AED">
              <w:t>No impact assessments completed by end of 2015</w:t>
            </w:r>
          </w:p>
        </w:tc>
      </w:tr>
      <w:tr w:rsidR="00676AED" w:rsidRPr="00676AED" w:rsidTr="00676AED">
        <w:trPr>
          <w:trHeight w:val="629"/>
        </w:trPr>
        <w:tc>
          <w:tcPr>
            <w:tcW w:w="13176" w:type="dxa"/>
            <w:gridSpan w:val="6"/>
            <w:hideMark/>
          </w:tcPr>
          <w:p w:rsidR="00676AED" w:rsidRPr="00676AED" w:rsidRDefault="00676AED" w:rsidP="00676AED">
            <w:pPr>
              <w:rPr>
                <w:b/>
              </w:rPr>
            </w:pPr>
            <w:r>
              <w:rPr>
                <w:b/>
              </w:rPr>
              <w:t>Site</w:t>
            </w:r>
            <w:r w:rsidRPr="00676AED">
              <w:rPr>
                <w:b/>
              </w:rPr>
              <w:t xml:space="preserve"> Strategy: Increase management </w:t>
            </w:r>
            <w:r w:rsidR="00861771">
              <w:rPr>
                <w:b/>
              </w:rPr>
              <w:t xml:space="preserve">effectiveness </w:t>
            </w:r>
            <w:r w:rsidRPr="00676AED">
              <w:rPr>
                <w:b/>
              </w:rPr>
              <w:t xml:space="preserve">and Caribbean Protected Area </w:t>
            </w:r>
            <w:r w:rsidR="00861771">
              <w:rPr>
                <w:b/>
              </w:rPr>
              <w:t>coverage</w:t>
            </w:r>
            <w:r w:rsidRPr="00676AED">
              <w:rPr>
                <w:b/>
              </w:rPr>
              <w:t xml:space="preserve"> to include at least 20 percent of nearshore </w:t>
            </w:r>
            <w:r w:rsidR="00861771">
              <w:rPr>
                <w:b/>
              </w:rPr>
              <w:t>and marine shelf habitats</w:t>
            </w:r>
            <w:r w:rsidRPr="00676AED">
              <w:rPr>
                <w:b/>
              </w:rPr>
              <w:t>.</w:t>
            </w:r>
          </w:p>
        </w:tc>
      </w:tr>
      <w:tr w:rsidR="00676AED" w:rsidRPr="00676AED" w:rsidTr="00676AED">
        <w:trPr>
          <w:trHeight w:val="1020"/>
        </w:trPr>
        <w:tc>
          <w:tcPr>
            <w:tcW w:w="3078" w:type="dxa"/>
            <w:hideMark/>
          </w:tcPr>
          <w:p w:rsidR="00676AED" w:rsidRPr="00676AED" w:rsidRDefault="00676AED">
            <w:r w:rsidRPr="00676AED">
              <w:lastRenderedPageBreak/>
              <w:t>No net loss in mangrove and fishing flat habitat coverage up to 2020</w:t>
            </w:r>
          </w:p>
        </w:tc>
        <w:tc>
          <w:tcPr>
            <w:tcW w:w="2790" w:type="dxa"/>
            <w:hideMark/>
          </w:tcPr>
          <w:p w:rsidR="00676AED" w:rsidRPr="00676AED" w:rsidRDefault="00676AED">
            <w:r w:rsidRPr="00676AED">
              <w:t>Mangrove and fishing flat habitat coverage in hectares</w:t>
            </w:r>
          </w:p>
        </w:tc>
        <w:tc>
          <w:tcPr>
            <w:tcW w:w="1440" w:type="dxa"/>
            <w:hideMark/>
          </w:tcPr>
          <w:p w:rsidR="00676AED" w:rsidRPr="00676AED" w:rsidRDefault="00676AED">
            <w:r w:rsidRPr="00676AED">
              <w:t>Caribbean GIS</w:t>
            </w:r>
          </w:p>
        </w:tc>
        <w:tc>
          <w:tcPr>
            <w:tcW w:w="1440" w:type="dxa"/>
            <w:hideMark/>
          </w:tcPr>
          <w:p w:rsidR="00676AED" w:rsidRPr="00676AED" w:rsidRDefault="00676AED">
            <w:r w:rsidRPr="00676AED">
              <w:t>Every 5 years</w:t>
            </w:r>
          </w:p>
        </w:tc>
        <w:tc>
          <w:tcPr>
            <w:tcW w:w="1868" w:type="dxa"/>
            <w:hideMark/>
          </w:tcPr>
          <w:p w:rsidR="00676AED" w:rsidRPr="00676AED" w:rsidRDefault="00676AED">
            <w:r w:rsidRPr="00676AED">
              <w:t>Park Manager, stakeholders, especially government</w:t>
            </w:r>
          </w:p>
        </w:tc>
        <w:tc>
          <w:tcPr>
            <w:tcW w:w="2560" w:type="dxa"/>
            <w:hideMark/>
          </w:tcPr>
          <w:p w:rsidR="00676AED" w:rsidRPr="00676AED" w:rsidRDefault="00676AED">
            <w:r w:rsidRPr="00676AED">
              <w:t> </w:t>
            </w:r>
          </w:p>
        </w:tc>
      </w:tr>
      <w:tr w:rsidR="00676AED" w:rsidRPr="00676AED" w:rsidTr="00676AED">
        <w:trPr>
          <w:trHeight w:val="1020"/>
        </w:trPr>
        <w:tc>
          <w:tcPr>
            <w:tcW w:w="3078" w:type="dxa"/>
            <w:hideMark/>
          </w:tcPr>
          <w:p w:rsidR="00676AED" w:rsidRPr="00676AED" w:rsidRDefault="00676AED">
            <w:r w:rsidRPr="00676AED">
              <w:t>Mangrove and fishing flat habitat is maintained by effective protection under the BNT Act.</w:t>
            </w:r>
          </w:p>
        </w:tc>
        <w:tc>
          <w:tcPr>
            <w:tcW w:w="2790" w:type="dxa"/>
            <w:hideMark/>
          </w:tcPr>
          <w:p w:rsidR="00676AED" w:rsidRPr="00676AED" w:rsidRDefault="00676AED">
            <w:r w:rsidRPr="00676AED">
              <w:t xml:space="preserve">METT score for Andros PA site </w:t>
            </w:r>
            <w:r w:rsidRPr="00676AED">
              <w:br/>
              <w:t>Number of staff assigned to patrol habitat?</w:t>
            </w:r>
            <w:r w:rsidRPr="00676AED">
              <w:br/>
              <w:t>Number of violations?</w:t>
            </w:r>
          </w:p>
        </w:tc>
        <w:tc>
          <w:tcPr>
            <w:tcW w:w="1440" w:type="dxa"/>
            <w:hideMark/>
          </w:tcPr>
          <w:p w:rsidR="00676AED" w:rsidRPr="00676AED" w:rsidRDefault="00676AED">
            <w:r w:rsidRPr="00676AED">
              <w:t>Felicity</w:t>
            </w:r>
          </w:p>
        </w:tc>
        <w:tc>
          <w:tcPr>
            <w:tcW w:w="1440" w:type="dxa"/>
            <w:hideMark/>
          </w:tcPr>
          <w:p w:rsidR="00676AED" w:rsidRPr="00676AED" w:rsidRDefault="00676AED">
            <w:r w:rsidRPr="00676AED">
              <w:t>Every 5 years</w:t>
            </w:r>
          </w:p>
        </w:tc>
        <w:tc>
          <w:tcPr>
            <w:tcW w:w="1868" w:type="dxa"/>
            <w:hideMark/>
          </w:tcPr>
          <w:p w:rsidR="00676AED" w:rsidRPr="00676AED" w:rsidRDefault="00676AED">
            <w:r w:rsidRPr="00676AED">
              <w:t>Park Manager, stakeholders, especially government</w:t>
            </w:r>
          </w:p>
        </w:tc>
        <w:tc>
          <w:tcPr>
            <w:tcW w:w="2560" w:type="dxa"/>
            <w:hideMark/>
          </w:tcPr>
          <w:p w:rsidR="00676AED" w:rsidRPr="00676AED" w:rsidRDefault="00676AED">
            <w:r w:rsidRPr="00676AED">
              <w:t>decrease in METT score, then examine and adjust management of site</w:t>
            </w:r>
          </w:p>
        </w:tc>
      </w:tr>
      <w:tr w:rsidR="00676AED" w:rsidRPr="00676AED" w:rsidTr="00676AED">
        <w:trPr>
          <w:trHeight w:val="1200"/>
        </w:trPr>
        <w:tc>
          <w:tcPr>
            <w:tcW w:w="3078" w:type="dxa"/>
            <w:hideMark/>
          </w:tcPr>
          <w:p w:rsidR="00676AED" w:rsidRPr="00676AED" w:rsidRDefault="00676AED">
            <w:r w:rsidRPr="00676AED">
              <w:t xml:space="preserve">Fish abundance maintained at 2011 levels or more. </w:t>
            </w:r>
          </w:p>
        </w:tc>
        <w:tc>
          <w:tcPr>
            <w:tcW w:w="2790" w:type="dxa"/>
            <w:hideMark/>
          </w:tcPr>
          <w:p w:rsidR="00676AED" w:rsidRPr="00676AED" w:rsidRDefault="00676AED">
            <w:r w:rsidRPr="00676AED">
              <w:t xml:space="preserve">Number of catches (and estimated </w:t>
            </w:r>
            <w:r w:rsidR="00F11F4B" w:rsidRPr="00676AED">
              <w:t>size)</w:t>
            </w:r>
            <w:r w:rsidRPr="00676AED">
              <w:t xml:space="preserve"> per day per trip during sampling periods.</w:t>
            </w:r>
          </w:p>
        </w:tc>
        <w:tc>
          <w:tcPr>
            <w:tcW w:w="1440" w:type="dxa"/>
            <w:hideMark/>
          </w:tcPr>
          <w:p w:rsidR="00676AED" w:rsidRPr="00676AED" w:rsidRDefault="00676AED">
            <w:r w:rsidRPr="00676AED">
              <w:t>Felicity, Fly-fishing lodge</w:t>
            </w:r>
          </w:p>
        </w:tc>
        <w:tc>
          <w:tcPr>
            <w:tcW w:w="1440" w:type="dxa"/>
            <w:hideMark/>
          </w:tcPr>
          <w:p w:rsidR="00676AED" w:rsidRPr="00676AED" w:rsidRDefault="00676AED">
            <w:r w:rsidRPr="00676AED">
              <w:t>Annually</w:t>
            </w:r>
          </w:p>
        </w:tc>
        <w:tc>
          <w:tcPr>
            <w:tcW w:w="1868" w:type="dxa"/>
            <w:hideMark/>
          </w:tcPr>
          <w:p w:rsidR="00676AED" w:rsidRPr="00676AED" w:rsidRDefault="00676AED">
            <w:r w:rsidRPr="00676AED">
              <w:t>Fisheries department, park managers, research science, TNC, stakeholders</w:t>
            </w:r>
          </w:p>
        </w:tc>
        <w:tc>
          <w:tcPr>
            <w:tcW w:w="2560" w:type="dxa"/>
            <w:hideMark/>
          </w:tcPr>
          <w:p w:rsidR="00676AED" w:rsidRPr="00676AED" w:rsidRDefault="00676AED">
            <w:r w:rsidRPr="00676AED">
              <w:t>Statistically significant reduction in bone fish activity</w:t>
            </w:r>
          </w:p>
        </w:tc>
      </w:tr>
    </w:tbl>
    <w:p w:rsidR="00BF62C0" w:rsidRDefault="00BF62C0">
      <w:pPr>
        <w:rPr>
          <w:lang w:val="en-029"/>
        </w:rPr>
      </w:pPr>
    </w:p>
    <w:p w:rsidR="002D5408" w:rsidRDefault="002D5408">
      <w:pPr>
        <w:rPr>
          <w:lang w:val="en-029"/>
        </w:rPr>
      </w:pPr>
      <w:r>
        <w:rPr>
          <w:lang w:val="en-029"/>
        </w:rPr>
        <w:br w:type="page"/>
      </w:r>
    </w:p>
    <w:p w:rsidR="0009007D" w:rsidRDefault="0009007D" w:rsidP="0009007D">
      <w:pPr>
        <w:pStyle w:val="Heading1"/>
        <w:rPr>
          <w:lang w:val="en-029"/>
        </w:rPr>
      </w:pPr>
      <w:bookmarkStart w:id="27" w:name="_Toc295219034"/>
      <w:r>
        <w:rPr>
          <w:lang w:val="en-029"/>
        </w:rPr>
        <w:lastRenderedPageBreak/>
        <w:t xml:space="preserve">Appendix IV: </w:t>
      </w:r>
      <w:r w:rsidR="00F9702A">
        <w:rPr>
          <w:lang w:val="en-029"/>
        </w:rPr>
        <w:t xml:space="preserve">Caribbean Challenge Initiative </w:t>
      </w:r>
      <w:r>
        <w:rPr>
          <w:lang w:val="en-029"/>
        </w:rPr>
        <w:t>implementation in Jamaica</w:t>
      </w:r>
      <w:bookmarkEnd w:id="27"/>
    </w:p>
    <w:p w:rsidR="00F060CA" w:rsidRDefault="00F060CA">
      <w:pPr>
        <w:rPr>
          <w:rFonts w:ascii="Calibri" w:hAnsi="Calibri"/>
          <w:lang w:val="en-029"/>
        </w:rPr>
      </w:pPr>
    </w:p>
    <w:p w:rsidR="00676AED" w:rsidRDefault="00676AED" w:rsidP="00676AED">
      <w:pPr>
        <w:pStyle w:val="Caption"/>
        <w:keepNext/>
      </w:pPr>
      <w:r w:rsidRPr="00792F48">
        <w:t xml:space="preserve">Objectives and Indicators for </w:t>
      </w:r>
      <w:r w:rsidR="00F9702A">
        <w:t xml:space="preserve">Caribbean Challenge Initiative </w:t>
      </w:r>
      <w:r w:rsidRPr="00792F48">
        <w:t>implemen</w:t>
      </w:r>
      <w:r>
        <w:t>tation in Jamaica</w:t>
      </w:r>
    </w:p>
    <w:tbl>
      <w:tblPr>
        <w:tblStyle w:val="TableGrid"/>
        <w:tblW w:w="0" w:type="auto"/>
        <w:tblLayout w:type="fixed"/>
        <w:tblLook w:val="04A0"/>
      </w:tblPr>
      <w:tblGrid>
        <w:gridCol w:w="2898"/>
        <w:gridCol w:w="3240"/>
        <w:gridCol w:w="1440"/>
        <w:gridCol w:w="1440"/>
        <w:gridCol w:w="1170"/>
        <w:gridCol w:w="2988"/>
      </w:tblGrid>
      <w:tr w:rsidR="00340FD8" w:rsidRPr="00676AED" w:rsidTr="00340FD8">
        <w:trPr>
          <w:trHeight w:val="315"/>
          <w:tblHeader/>
        </w:trPr>
        <w:tc>
          <w:tcPr>
            <w:tcW w:w="2898" w:type="dxa"/>
            <w:hideMark/>
          </w:tcPr>
          <w:p w:rsidR="00676AED" w:rsidRPr="00676AED" w:rsidRDefault="00676AED" w:rsidP="00676AED">
            <w:pPr>
              <w:rPr>
                <w:rFonts w:ascii="Calibri" w:hAnsi="Calibri"/>
                <w:b/>
                <w:bCs/>
              </w:rPr>
            </w:pPr>
            <w:r w:rsidRPr="00676AED">
              <w:rPr>
                <w:rFonts w:ascii="Calibri" w:hAnsi="Calibri"/>
                <w:b/>
                <w:bCs/>
              </w:rPr>
              <w:t xml:space="preserve">Objective </w:t>
            </w:r>
          </w:p>
        </w:tc>
        <w:tc>
          <w:tcPr>
            <w:tcW w:w="3240" w:type="dxa"/>
            <w:hideMark/>
          </w:tcPr>
          <w:p w:rsidR="00676AED" w:rsidRPr="00676AED" w:rsidRDefault="00676AED" w:rsidP="00676AED">
            <w:pPr>
              <w:rPr>
                <w:rFonts w:ascii="Calibri" w:hAnsi="Calibri"/>
                <w:b/>
                <w:bCs/>
              </w:rPr>
            </w:pPr>
            <w:r w:rsidRPr="00676AED">
              <w:rPr>
                <w:rFonts w:ascii="Calibri" w:hAnsi="Calibri"/>
                <w:b/>
                <w:bCs/>
              </w:rPr>
              <w:t>Indicators</w:t>
            </w:r>
          </w:p>
        </w:tc>
        <w:tc>
          <w:tcPr>
            <w:tcW w:w="1440" w:type="dxa"/>
            <w:hideMark/>
          </w:tcPr>
          <w:p w:rsidR="00676AED" w:rsidRPr="00676AED" w:rsidRDefault="00676AED" w:rsidP="00676AED">
            <w:pPr>
              <w:rPr>
                <w:rFonts w:ascii="Calibri" w:hAnsi="Calibri"/>
                <w:b/>
                <w:bCs/>
              </w:rPr>
            </w:pPr>
            <w:r w:rsidRPr="00676AED">
              <w:rPr>
                <w:rFonts w:ascii="Calibri" w:hAnsi="Calibri"/>
                <w:b/>
                <w:bCs/>
              </w:rPr>
              <w:t>Who monitors</w:t>
            </w:r>
          </w:p>
        </w:tc>
        <w:tc>
          <w:tcPr>
            <w:tcW w:w="1440" w:type="dxa"/>
            <w:hideMark/>
          </w:tcPr>
          <w:p w:rsidR="00676AED" w:rsidRPr="00676AED" w:rsidRDefault="00676AED" w:rsidP="00676AED">
            <w:pPr>
              <w:rPr>
                <w:rFonts w:ascii="Calibri" w:hAnsi="Calibri"/>
                <w:b/>
                <w:bCs/>
              </w:rPr>
            </w:pPr>
            <w:r w:rsidRPr="00676AED">
              <w:rPr>
                <w:rFonts w:ascii="Calibri" w:hAnsi="Calibri"/>
                <w:b/>
                <w:bCs/>
              </w:rPr>
              <w:t>Frequency</w:t>
            </w:r>
          </w:p>
        </w:tc>
        <w:tc>
          <w:tcPr>
            <w:tcW w:w="1170" w:type="dxa"/>
            <w:noWrap/>
            <w:hideMark/>
          </w:tcPr>
          <w:p w:rsidR="00676AED" w:rsidRPr="00676AED" w:rsidRDefault="00676AED" w:rsidP="00676AED">
            <w:pPr>
              <w:rPr>
                <w:rFonts w:ascii="Calibri" w:hAnsi="Calibri"/>
                <w:b/>
                <w:bCs/>
              </w:rPr>
            </w:pPr>
            <w:r w:rsidRPr="00676AED">
              <w:rPr>
                <w:rFonts w:ascii="Calibri" w:hAnsi="Calibri"/>
                <w:b/>
                <w:bCs/>
              </w:rPr>
              <w:t>Audience</w:t>
            </w:r>
          </w:p>
        </w:tc>
        <w:tc>
          <w:tcPr>
            <w:tcW w:w="2988" w:type="dxa"/>
            <w:noWrap/>
            <w:hideMark/>
          </w:tcPr>
          <w:p w:rsidR="00676AED" w:rsidRPr="00676AED" w:rsidRDefault="00676AED" w:rsidP="00676AED">
            <w:pPr>
              <w:rPr>
                <w:rFonts w:ascii="Calibri" w:hAnsi="Calibri"/>
                <w:b/>
                <w:bCs/>
              </w:rPr>
            </w:pPr>
            <w:r w:rsidRPr="00676AED">
              <w:rPr>
                <w:rFonts w:ascii="Calibri" w:hAnsi="Calibri"/>
                <w:b/>
                <w:bCs/>
              </w:rPr>
              <w:t>Decision-making trigger</w:t>
            </w:r>
          </w:p>
        </w:tc>
      </w:tr>
      <w:tr w:rsidR="00676AED" w:rsidRPr="00676AED" w:rsidTr="00340FD8">
        <w:trPr>
          <w:trHeight w:val="315"/>
        </w:trPr>
        <w:tc>
          <w:tcPr>
            <w:tcW w:w="13176" w:type="dxa"/>
            <w:gridSpan w:val="6"/>
            <w:hideMark/>
          </w:tcPr>
          <w:p w:rsidR="00676AED" w:rsidRPr="00676AED" w:rsidRDefault="00676AED" w:rsidP="00676AED">
            <w:pPr>
              <w:rPr>
                <w:rFonts w:ascii="Calibri" w:hAnsi="Calibri"/>
                <w:b/>
                <w:bCs/>
              </w:rPr>
            </w:pPr>
            <w:r>
              <w:rPr>
                <w:rFonts w:ascii="Calibri" w:hAnsi="Calibri"/>
                <w:b/>
                <w:bCs/>
              </w:rPr>
              <w:t xml:space="preserve">National Strategy: </w:t>
            </w:r>
            <w:r w:rsidRPr="00676AED">
              <w:rPr>
                <w:rFonts w:ascii="Calibri" w:hAnsi="Calibri"/>
                <w:b/>
                <w:bCs/>
              </w:rPr>
              <w:t>Sustainable Financing of PAs: Establish dedicated and permanent sources of funding to improve management effectiveness within Caribbean Protected Areas.</w:t>
            </w:r>
          </w:p>
        </w:tc>
      </w:tr>
      <w:tr w:rsidR="00340FD8" w:rsidRPr="00676AED" w:rsidTr="00340FD8">
        <w:trPr>
          <w:trHeight w:val="2475"/>
        </w:trPr>
        <w:tc>
          <w:tcPr>
            <w:tcW w:w="2898" w:type="dxa"/>
            <w:hideMark/>
          </w:tcPr>
          <w:p w:rsidR="00676AED" w:rsidRPr="00676AED" w:rsidRDefault="00676AED">
            <w:pPr>
              <w:rPr>
                <w:rFonts w:ascii="Calibri" w:hAnsi="Calibri"/>
              </w:rPr>
            </w:pPr>
            <w:r w:rsidRPr="00676AED">
              <w:rPr>
                <w:rFonts w:ascii="Calibri" w:hAnsi="Calibri"/>
              </w:rPr>
              <w:t>By Dec. 2012, NPATF established and conforms with CBF stipulations</w:t>
            </w:r>
          </w:p>
        </w:tc>
        <w:tc>
          <w:tcPr>
            <w:tcW w:w="3240" w:type="dxa"/>
            <w:hideMark/>
          </w:tcPr>
          <w:p w:rsidR="00676AED" w:rsidRPr="00676AED" w:rsidRDefault="00676AED">
            <w:pPr>
              <w:rPr>
                <w:rFonts w:ascii="Calibri" w:hAnsi="Calibri"/>
              </w:rPr>
            </w:pPr>
            <w:r w:rsidRPr="00676AED">
              <w:rPr>
                <w:rFonts w:ascii="Calibri" w:hAnsi="Calibri"/>
              </w:rPr>
              <w:t xml:space="preserve">1) End of 2011- Confirmed institutional location of the </w:t>
            </w:r>
            <w:r w:rsidR="00F11F4B" w:rsidRPr="00676AED">
              <w:rPr>
                <w:rFonts w:ascii="Calibri" w:hAnsi="Calibri"/>
              </w:rPr>
              <w:t xml:space="preserve">NPATF </w:t>
            </w:r>
            <w:r w:rsidRPr="00676AED">
              <w:rPr>
                <w:rFonts w:ascii="Calibri" w:hAnsi="Calibri"/>
              </w:rPr>
              <w:br/>
              <w:t>2) End of 2012- NPATF established through consultative process with Non-Government majority board.</w:t>
            </w:r>
            <w:r w:rsidRPr="00676AED">
              <w:rPr>
                <w:rFonts w:ascii="Calibri" w:hAnsi="Calibri"/>
              </w:rPr>
              <w:br/>
              <w:t xml:space="preserve">3) End of 2012- Signed vertical agreement b/w CBF and NPATF.  </w:t>
            </w:r>
          </w:p>
        </w:tc>
        <w:tc>
          <w:tcPr>
            <w:tcW w:w="1440" w:type="dxa"/>
            <w:hideMark/>
          </w:tcPr>
          <w:p w:rsidR="00676AED" w:rsidRPr="00676AED" w:rsidRDefault="00676AED">
            <w:pPr>
              <w:rPr>
                <w:rFonts w:ascii="Calibri" w:hAnsi="Calibri"/>
              </w:rPr>
            </w:pPr>
            <w:r w:rsidRPr="00676AED">
              <w:rPr>
                <w:rFonts w:ascii="Calibri" w:hAnsi="Calibri"/>
              </w:rPr>
              <w:t>Country Rep: Donna Blake</w:t>
            </w:r>
          </w:p>
        </w:tc>
        <w:tc>
          <w:tcPr>
            <w:tcW w:w="1440" w:type="dxa"/>
            <w:hideMark/>
          </w:tcPr>
          <w:p w:rsidR="00676AED" w:rsidRPr="00676AED" w:rsidRDefault="00676AED">
            <w:pPr>
              <w:rPr>
                <w:rFonts w:ascii="Calibri" w:hAnsi="Calibri"/>
              </w:rPr>
            </w:pPr>
            <w:r w:rsidRPr="00676AED">
              <w:rPr>
                <w:rFonts w:ascii="Calibri" w:hAnsi="Calibri"/>
              </w:rPr>
              <w:t>Quarterly updates</w:t>
            </w:r>
          </w:p>
        </w:tc>
        <w:tc>
          <w:tcPr>
            <w:tcW w:w="1170" w:type="dxa"/>
            <w:noWrap/>
            <w:hideMark/>
          </w:tcPr>
          <w:p w:rsidR="00676AED" w:rsidRPr="00676AED" w:rsidRDefault="00676AED">
            <w:pPr>
              <w:rPr>
                <w:rFonts w:ascii="Calibri" w:hAnsi="Calibri"/>
              </w:rPr>
            </w:pPr>
            <w:r w:rsidRPr="00676AED">
              <w:rPr>
                <w:rFonts w:ascii="Calibri" w:hAnsi="Calibri"/>
              </w:rPr>
              <w:t>CBF board, OU director</w:t>
            </w:r>
          </w:p>
        </w:tc>
        <w:tc>
          <w:tcPr>
            <w:tcW w:w="2988" w:type="dxa"/>
            <w:hideMark/>
          </w:tcPr>
          <w:p w:rsidR="00676AED" w:rsidRPr="00676AED" w:rsidRDefault="00676AED">
            <w:pPr>
              <w:rPr>
                <w:rFonts w:ascii="Calibri" w:hAnsi="Calibri"/>
              </w:rPr>
            </w:pPr>
            <w:r w:rsidRPr="00676AED">
              <w:rPr>
                <w:rFonts w:ascii="Calibri" w:hAnsi="Calibri"/>
              </w:rPr>
              <w:t>1) End of 2011- no decision re location of NPATF. Reassess local NPATF strategy</w:t>
            </w:r>
            <w:r w:rsidRPr="00676AED">
              <w:rPr>
                <w:rFonts w:ascii="Calibri" w:hAnsi="Calibri"/>
              </w:rPr>
              <w:br/>
              <w:t>2) End of 2012- NPATF not established</w:t>
            </w:r>
          </w:p>
        </w:tc>
      </w:tr>
      <w:tr w:rsidR="00340FD8" w:rsidRPr="00676AED" w:rsidTr="00340FD8">
        <w:trPr>
          <w:trHeight w:val="1845"/>
        </w:trPr>
        <w:tc>
          <w:tcPr>
            <w:tcW w:w="2898" w:type="dxa"/>
            <w:hideMark/>
          </w:tcPr>
          <w:p w:rsidR="00676AED" w:rsidRPr="00676AED" w:rsidRDefault="00676AED">
            <w:pPr>
              <w:rPr>
                <w:rFonts w:ascii="Calibri" w:hAnsi="Calibri"/>
              </w:rPr>
            </w:pPr>
            <w:r w:rsidRPr="00676AED">
              <w:rPr>
                <w:rFonts w:ascii="Calibri" w:hAnsi="Calibri"/>
              </w:rPr>
              <w:t xml:space="preserve">By 2015, at least $250,000 in new PA revenues </w:t>
            </w:r>
            <w:r w:rsidR="00F11F4B" w:rsidRPr="00676AED">
              <w:rPr>
                <w:rFonts w:ascii="Calibri" w:hAnsi="Calibri"/>
              </w:rPr>
              <w:t>is</w:t>
            </w:r>
            <w:r w:rsidRPr="00676AED">
              <w:rPr>
                <w:rFonts w:ascii="Calibri" w:hAnsi="Calibri"/>
              </w:rPr>
              <w:t xml:space="preserve"> generated at the local level flows into NPATF and qualifies as match for CBF proceeds.</w:t>
            </w:r>
          </w:p>
        </w:tc>
        <w:tc>
          <w:tcPr>
            <w:tcW w:w="3240" w:type="dxa"/>
            <w:hideMark/>
          </w:tcPr>
          <w:p w:rsidR="00676AED" w:rsidRPr="00676AED" w:rsidRDefault="00676AED">
            <w:pPr>
              <w:rPr>
                <w:rFonts w:ascii="Calibri" w:hAnsi="Calibri"/>
              </w:rPr>
            </w:pPr>
            <w:r w:rsidRPr="00676AED">
              <w:rPr>
                <w:rFonts w:ascii="Calibri" w:hAnsi="Calibri"/>
              </w:rPr>
              <w:t xml:space="preserve">1) New local sustainable finance mechanisms  for PAs approved and operationalised by </w:t>
            </w:r>
            <w:r w:rsidRPr="001A07F4">
              <w:rPr>
                <w:rFonts w:ascii="Calibri" w:hAnsi="Calibri"/>
                <w:highlight w:val="yellow"/>
              </w:rPr>
              <w:t>20XXX</w:t>
            </w:r>
            <w:r w:rsidRPr="00676AED">
              <w:rPr>
                <w:rFonts w:ascii="Calibri" w:hAnsi="Calibri"/>
              </w:rPr>
              <w:br/>
              <w:t>2) % of maximum CBF inflows matched by local revenues annually</w:t>
            </w:r>
          </w:p>
        </w:tc>
        <w:tc>
          <w:tcPr>
            <w:tcW w:w="1440" w:type="dxa"/>
            <w:hideMark/>
          </w:tcPr>
          <w:p w:rsidR="00676AED" w:rsidRPr="00676AED" w:rsidRDefault="00676AED">
            <w:pPr>
              <w:rPr>
                <w:rFonts w:ascii="Calibri" w:hAnsi="Calibri"/>
              </w:rPr>
            </w:pPr>
            <w:r w:rsidRPr="00676AED">
              <w:rPr>
                <w:rFonts w:ascii="Calibri" w:hAnsi="Calibri"/>
              </w:rPr>
              <w:t>Country Rep: Donna Blake</w:t>
            </w:r>
          </w:p>
        </w:tc>
        <w:tc>
          <w:tcPr>
            <w:tcW w:w="1440" w:type="dxa"/>
            <w:hideMark/>
          </w:tcPr>
          <w:p w:rsidR="00676AED" w:rsidRPr="00676AED" w:rsidRDefault="00676AED">
            <w:pPr>
              <w:rPr>
                <w:rFonts w:ascii="Calibri" w:hAnsi="Calibri"/>
              </w:rPr>
            </w:pPr>
            <w:r w:rsidRPr="00676AED">
              <w:rPr>
                <w:rFonts w:ascii="Calibri" w:hAnsi="Calibri"/>
              </w:rPr>
              <w:t>Annual updates</w:t>
            </w:r>
          </w:p>
        </w:tc>
        <w:tc>
          <w:tcPr>
            <w:tcW w:w="1170" w:type="dxa"/>
            <w:noWrap/>
            <w:hideMark/>
          </w:tcPr>
          <w:p w:rsidR="00676AED" w:rsidRPr="00676AED" w:rsidRDefault="00676AED">
            <w:pPr>
              <w:rPr>
                <w:rFonts w:ascii="Calibri" w:hAnsi="Calibri"/>
              </w:rPr>
            </w:pPr>
            <w:r w:rsidRPr="00676AED">
              <w:rPr>
                <w:rFonts w:ascii="Calibri" w:hAnsi="Calibri"/>
              </w:rPr>
              <w:t>CBF board, OU director</w:t>
            </w:r>
          </w:p>
        </w:tc>
        <w:tc>
          <w:tcPr>
            <w:tcW w:w="2988" w:type="dxa"/>
            <w:hideMark/>
          </w:tcPr>
          <w:p w:rsidR="00676AED" w:rsidRPr="00676AED" w:rsidRDefault="00676AED">
            <w:pPr>
              <w:rPr>
                <w:rFonts w:ascii="Calibri" w:hAnsi="Calibri"/>
              </w:rPr>
            </w:pPr>
            <w:r w:rsidRPr="00676AED">
              <w:rPr>
                <w:rFonts w:ascii="Calibri" w:hAnsi="Calibri"/>
              </w:rPr>
              <w:t>1) Dec 2012- no new local financing mechanisms prioritised and on the way to approval (no expression of political will).</w:t>
            </w:r>
            <w:r w:rsidRPr="00676AED">
              <w:rPr>
                <w:rFonts w:ascii="Calibri" w:hAnsi="Calibri"/>
              </w:rPr>
              <w:br/>
              <w:t>2) June 2014 less than 50% of CBF inflows to NPATF matched by local revenue</w:t>
            </w:r>
          </w:p>
        </w:tc>
      </w:tr>
      <w:tr w:rsidR="00676AED" w:rsidRPr="00676AED" w:rsidTr="00340FD8">
        <w:trPr>
          <w:trHeight w:val="629"/>
        </w:trPr>
        <w:tc>
          <w:tcPr>
            <w:tcW w:w="13176" w:type="dxa"/>
            <w:gridSpan w:val="6"/>
            <w:hideMark/>
          </w:tcPr>
          <w:p w:rsidR="00676AED" w:rsidRPr="00676AED" w:rsidRDefault="00676AED">
            <w:pPr>
              <w:rPr>
                <w:rFonts w:ascii="Calibri" w:hAnsi="Calibri"/>
                <w:b/>
              </w:rPr>
            </w:pPr>
            <w:r w:rsidRPr="00676AED">
              <w:rPr>
                <w:rFonts w:ascii="Calibri" w:hAnsi="Calibri"/>
                <w:b/>
              </w:rPr>
              <w:t xml:space="preserve">National strategy Marine Protected Areas: By 2020 increase </w:t>
            </w:r>
            <w:r w:rsidR="00861771">
              <w:rPr>
                <w:rFonts w:ascii="Calibri" w:hAnsi="Calibri"/>
                <w:b/>
              </w:rPr>
              <w:t xml:space="preserve">effectiveness </w:t>
            </w:r>
            <w:r w:rsidR="00F11F4B" w:rsidRPr="00676AED">
              <w:rPr>
                <w:rFonts w:ascii="Calibri" w:hAnsi="Calibri"/>
                <w:b/>
              </w:rPr>
              <w:t>and Caribbean</w:t>
            </w:r>
            <w:r w:rsidRPr="00676AED">
              <w:rPr>
                <w:rFonts w:ascii="Calibri" w:hAnsi="Calibri"/>
                <w:b/>
              </w:rPr>
              <w:t xml:space="preserve"> Protected Area </w:t>
            </w:r>
            <w:r w:rsidR="00861771">
              <w:rPr>
                <w:rFonts w:ascii="Calibri" w:hAnsi="Calibri"/>
                <w:b/>
              </w:rPr>
              <w:t>coverage</w:t>
            </w:r>
            <w:r w:rsidRPr="00676AED">
              <w:rPr>
                <w:rFonts w:ascii="Calibri" w:hAnsi="Calibri"/>
                <w:b/>
              </w:rPr>
              <w:t xml:space="preserve"> to include at least 20 percent of nearshore </w:t>
            </w:r>
            <w:r w:rsidR="00861771">
              <w:rPr>
                <w:b/>
              </w:rPr>
              <w:t>and marine shelf habitats</w:t>
            </w:r>
            <w:r w:rsidRPr="00676AED">
              <w:rPr>
                <w:rFonts w:ascii="Calibri" w:hAnsi="Calibri"/>
                <w:b/>
              </w:rPr>
              <w:t>.</w:t>
            </w:r>
          </w:p>
        </w:tc>
      </w:tr>
      <w:tr w:rsidR="00340FD8" w:rsidRPr="00676AED" w:rsidTr="00340FD8">
        <w:trPr>
          <w:trHeight w:val="1800"/>
        </w:trPr>
        <w:tc>
          <w:tcPr>
            <w:tcW w:w="2898" w:type="dxa"/>
            <w:hideMark/>
          </w:tcPr>
          <w:p w:rsidR="00676AED" w:rsidRPr="00676AED" w:rsidRDefault="00676AED">
            <w:pPr>
              <w:rPr>
                <w:rFonts w:ascii="Calibri" w:hAnsi="Calibri"/>
              </w:rPr>
            </w:pPr>
            <w:r w:rsidRPr="00676AED">
              <w:rPr>
                <w:rFonts w:ascii="Calibri" w:hAnsi="Calibri"/>
              </w:rPr>
              <w:lastRenderedPageBreak/>
              <w:t>By 2012 (10%) and 2015 (15%), 2020 (20%) of coastal and nearshore habitat to the 200m bathymetric line is under legal protection.</w:t>
            </w:r>
          </w:p>
        </w:tc>
        <w:tc>
          <w:tcPr>
            <w:tcW w:w="3240" w:type="dxa"/>
            <w:hideMark/>
          </w:tcPr>
          <w:p w:rsidR="00676AED" w:rsidRPr="00676AED" w:rsidRDefault="00676AED">
            <w:pPr>
              <w:rPr>
                <w:rFonts w:ascii="Calibri" w:hAnsi="Calibri"/>
              </w:rPr>
            </w:pPr>
            <w:r w:rsidRPr="00676AED">
              <w:rPr>
                <w:rFonts w:ascii="Calibri" w:hAnsi="Calibri"/>
              </w:rPr>
              <w:t>Hectares already protected and planned to be declared (in the queue) in the near term.</w:t>
            </w:r>
          </w:p>
        </w:tc>
        <w:tc>
          <w:tcPr>
            <w:tcW w:w="1440" w:type="dxa"/>
            <w:hideMark/>
          </w:tcPr>
          <w:p w:rsidR="00676AED" w:rsidRPr="00676AED" w:rsidRDefault="00676AED">
            <w:pPr>
              <w:rPr>
                <w:rFonts w:ascii="Calibri" w:hAnsi="Calibri"/>
              </w:rPr>
            </w:pPr>
            <w:r w:rsidRPr="00676AED">
              <w:rPr>
                <w:rFonts w:ascii="Calibri" w:hAnsi="Calibri"/>
              </w:rPr>
              <w:t>Llewelyn Meggs</w:t>
            </w:r>
          </w:p>
        </w:tc>
        <w:tc>
          <w:tcPr>
            <w:tcW w:w="1440" w:type="dxa"/>
            <w:hideMark/>
          </w:tcPr>
          <w:p w:rsidR="00676AED" w:rsidRPr="00676AED" w:rsidRDefault="00676AED">
            <w:pPr>
              <w:rPr>
                <w:rFonts w:ascii="Calibri" w:hAnsi="Calibri"/>
              </w:rPr>
            </w:pPr>
            <w:r w:rsidRPr="00676AED">
              <w:rPr>
                <w:rFonts w:ascii="Calibri" w:hAnsi="Calibri"/>
              </w:rPr>
              <w:t>annual check on status of declarations in Gazettes</w:t>
            </w:r>
          </w:p>
        </w:tc>
        <w:tc>
          <w:tcPr>
            <w:tcW w:w="1170" w:type="dxa"/>
            <w:hideMark/>
          </w:tcPr>
          <w:p w:rsidR="00676AED" w:rsidRPr="00676AED" w:rsidRDefault="00676AED">
            <w:pPr>
              <w:rPr>
                <w:rFonts w:ascii="Calibri" w:hAnsi="Calibri"/>
              </w:rPr>
            </w:pPr>
            <w:r w:rsidRPr="00676AED">
              <w:rPr>
                <w:rFonts w:ascii="Calibri" w:hAnsi="Calibri"/>
              </w:rPr>
              <w:t>Phil, PAC or its successor may be an audience, donna</w:t>
            </w:r>
          </w:p>
        </w:tc>
        <w:tc>
          <w:tcPr>
            <w:tcW w:w="2988" w:type="dxa"/>
            <w:hideMark/>
          </w:tcPr>
          <w:p w:rsidR="00676AED" w:rsidRPr="00676AED" w:rsidRDefault="00676AED">
            <w:pPr>
              <w:rPr>
                <w:rFonts w:ascii="Calibri" w:hAnsi="Calibri"/>
              </w:rPr>
            </w:pPr>
            <w:r w:rsidRPr="00676AED">
              <w:rPr>
                <w:rFonts w:ascii="Calibri" w:hAnsi="Calibri"/>
              </w:rPr>
              <w:t>By early 2015 sufficient hectares declared and planned to be declared to meet 15% goal</w:t>
            </w:r>
          </w:p>
        </w:tc>
      </w:tr>
      <w:tr w:rsidR="00340FD8" w:rsidRPr="00676AED" w:rsidTr="00340FD8">
        <w:trPr>
          <w:trHeight w:val="1200"/>
        </w:trPr>
        <w:tc>
          <w:tcPr>
            <w:tcW w:w="2898" w:type="dxa"/>
            <w:hideMark/>
          </w:tcPr>
          <w:p w:rsidR="00676AED" w:rsidRPr="00676AED" w:rsidRDefault="00676AED">
            <w:pPr>
              <w:rPr>
                <w:rFonts w:ascii="Calibri" w:hAnsi="Calibri"/>
              </w:rPr>
            </w:pPr>
            <w:r w:rsidRPr="00676AED">
              <w:rPr>
                <w:rFonts w:ascii="Calibri" w:hAnsi="Calibri"/>
              </w:rPr>
              <w:t>By 2013, Government maintains current* expenditure levels on PAs</w:t>
            </w:r>
            <w:r w:rsidRPr="00676AED">
              <w:rPr>
                <w:rFonts w:ascii="Calibri" w:hAnsi="Calibri"/>
              </w:rPr>
              <w:br/>
              <w:t>*2009 levels adjusted for inflation</w:t>
            </w:r>
          </w:p>
        </w:tc>
        <w:tc>
          <w:tcPr>
            <w:tcW w:w="3240" w:type="dxa"/>
            <w:hideMark/>
          </w:tcPr>
          <w:p w:rsidR="00676AED" w:rsidRPr="00676AED" w:rsidRDefault="00676AED">
            <w:pPr>
              <w:rPr>
                <w:rFonts w:ascii="Calibri" w:hAnsi="Calibri"/>
              </w:rPr>
            </w:pPr>
            <w:r w:rsidRPr="00676AED">
              <w:rPr>
                <w:rFonts w:ascii="Calibri" w:hAnsi="Calibri"/>
              </w:rPr>
              <w:t xml:space="preserve">Budget committed to nearshore and coastal PAs  </w:t>
            </w:r>
          </w:p>
        </w:tc>
        <w:tc>
          <w:tcPr>
            <w:tcW w:w="1440" w:type="dxa"/>
            <w:hideMark/>
          </w:tcPr>
          <w:p w:rsidR="00676AED" w:rsidRPr="00676AED" w:rsidRDefault="00676AED">
            <w:pPr>
              <w:rPr>
                <w:rFonts w:ascii="Calibri" w:hAnsi="Calibri"/>
              </w:rPr>
            </w:pPr>
            <w:r w:rsidRPr="00676AED">
              <w:rPr>
                <w:rFonts w:ascii="Calibri" w:hAnsi="Calibri"/>
              </w:rPr>
              <w:t>Country Rep: Donna</w:t>
            </w:r>
          </w:p>
        </w:tc>
        <w:tc>
          <w:tcPr>
            <w:tcW w:w="1440" w:type="dxa"/>
            <w:hideMark/>
          </w:tcPr>
          <w:p w:rsidR="00676AED" w:rsidRPr="00676AED" w:rsidRDefault="00676AED">
            <w:pPr>
              <w:rPr>
                <w:rFonts w:ascii="Calibri" w:hAnsi="Calibri"/>
              </w:rPr>
            </w:pPr>
            <w:r w:rsidRPr="00676AED">
              <w:rPr>
                <w:rFonts w:ascii="Calibri" w:hAnsi="Calibri"/>
              </w:rPr>
              <w:t xml:space="preserve">annual </w:t>
            </w:r>
          </w:p>
        </w:tc>
        <w:tc>
          <w:tcPr>
            <w:tcW w:w="1170" w:type="dxa"/>
            <w:hideMark/>
          </w:tcPr>
          <w:p w:rsidR="00676AED" w:rsidRPr="00676AED" w:rsidRDefault="00F11F4B">
            <w:pPr>
              <w:rPr>
                <w:rFonts w:ascii="Calibri" w:hAnsi="Calibri"/>
              </w:rPr>
            </w:pPr>
            <w:r>
              <w:rPr>
                <w:rFonts w:ascii="Calibri" w:hAnsi="Calibri"/>
              </w:rPr>
              <w:t>D</w:t>
            </w:r>
            <w:r w:rsidRPr="00676AED">
              <w:rPr>
                <w:rFonts w:ascii="Calibri" w:hAnsi="Calibri"/>
              </w:rPr>
              <w:t>onna, CBF, NPATF, Phil/C</w:t>
            </w:r>
            <w:r>
              <w:rPr>
                <w:rFonts w:ascii="Calibri" w:hAnsi="Calibri"/>
              </w:rPr>
              <w:t>aribbean</w:t>
            </w:r>
            <w:r w:rsidRPr="00676AED">
              <w:rPr>
                <w:rFonts w:ascii="Calibri" w:hAnsi="Calibri"/>
              </w:rPr>
              <w:t xml:space="preserve"> OU mgmt team</w:t>
            </w:r>
          </w:p>
        </w:tc>
        <w:tc>
          <w:tcPr>
            <w:tcW w:w="2988" w:type="dxa"/>
            <w:hideMark/>
          </w:tcPr>
          <w:p w:rsidR="00676AED" w:rsidRPr="00676AED" w:rsidRDefault="00676AED">
            <w:pPr>
              <w:rPr>
                <w:rFonts w:ascii="Calibri" w:hAnsi="Calibri"/>
              </w:rPr>
            </w:pPr>
            <w:r w:rsidRPr="00676AED">
              <w:rPr>
                <w:rFonts w:ascii="Calibri" w:hAnsi="Calibri"/>
              </w:rPr>
              <w:t>establish baseline before the NPATF, then NPATF is established; but if there is a decrease over a few years consecutively</w:t>
            </w:r>
          </w:p>
        </w:tc>
      </w:tr>
      <w:tr w:rsidR="00340FD8" w:rsidRPr="00676AED" w:rsidTr="00340FD8">
        <w:trPr>
          <w:trHeight w:val="1500"/>
        </w:trPr>
        <w:tc>
          <w:tcPr>
            <w:tcW w:w="2898" w:type="dxa"/>
            <w:hideMark/>
          </w:tcPr>
          <w:p w:rsidR="00676AED" w:rsidRPr="00676AED" w:rsidRDefault="00676AED">
            <w:pPr>
              <w:rPr>
                <w:rFonts w:ascii="Calibri" w:hAnsi="Calibri"/>
              </w:rPr>
            </w:pPr>
            <w:r w:rsidRPr="00676AED">
              <w:rPr>
                <w:rFonts w:ascii="Calibri" w:hAnsi="Calibri"/>
              </w:rPr>
              <w:t>By 2012 as part of PASMP implementation a functional coordination mechanism between relevant stakeholders is in place for large projects.</w:t>
            </w:r>
          </w:p>
        </w:tc>
        <w:tc>
          <w:tcPr>
            <w:tcW w:w="3240" w:type="dxa"/>
            <w:hideMark/>
          </w:tcPr>
          <w:p w:rsidR="00676AED" w:rsidRPr="00676AED" w:rsidRDefault="00676AED">
            <w:pPr>
              <w:rPr>
                <w:rFonts w:ascii="Calibri" w:hAnsi="Calibri"/>
              </w:rPr>
            </w:pPr>
            <w:r w:rsidRPr="00676AED">
              <w:rPr>
                <w:rFonts w:ascii="Calibri" w:hAnsi="Calibri"/>
              </w:rPr>
              <w:t>NISP MOU in place between PA managing entities with NISP meets 3 times per year.</w:t>
            </w:r>
          </w:p>
        </w:tc>
        <w:tc>
          <w:tcPr>
            <w:tcW w:w="1440" w:type="dxa"/>
            <w:hideMark/>
          </w:tcPr>
          <w:p w:rsidR="00676AED" w:rsidRPr="00676AED" w:rsidRDefault="00676AED">
            <w:pPr>
              <w:rPr>
                <w:rFonts w:ascii="Calibri" w:hAnsi="Calibri"/>
              </w:rPr>
            </w:pPr>
            <w:r w:rsidRPr="00676AED">
              <w:rPr>
                <w:rFonts w:ascii="Calibri" w:hAnsi="Calibri"/>
              </w:rPr>
              <w:t>Country Rep: Donna</w:t>
            </w:r>
          </w:p>
        </w:tc>
        <w:tc>
          <w:tcPr>
            <w:tcW w:w="1440" w:type="dxa"/>
            <w:hideMark/>
          </w:tcPr>
          <w:p w:rsidR="00676AED" w:rsidRPr="00676AED" w:rsidRDefault="00676AED">
            <w:pPr>
              <w:rPr>
                <w:rFonts w:ascii="Calibri" w:hAnsi="Calibri"/>
              </w:rPr>
            </w:pPr>
            <w:r w:rsidRPr="00676AED">
              <w:rPr>
                <w:rFonts w:ascii="Calibri" w:hAnsi="Calibri"/>
              </w:rPr>
              <w:t>bi-ennially</w:t>
            </w:r>
          </w:p>
        </w:tc>
        <w:tc>
          <w:tcPr>
            <w:tcW w:w="1170" w:type="dxa"/>
            <w:hideMark/>
          </w:tcPr>
          <w:p w:rsidR="00676AED" w:rsidRPr="00676AED" w:rsidRDefault="00676AED">
            <w:pPr>
              <w:rPr>
                <w:rFonts w:ascii="Calibri" w:hAnsi="Calibri"/>
              </w:rPr>
            </w:pPr>
            <w:r w:rsidRPr="00676AED">
              <w:rPr>
                <w:rFonts w:ascii="Calibri" w:hAnsi="Calibri"/>
              </w:rPr>
              <w:t>donna , Phil/OU mgmt team</w:t>
            </w:r>
          </w:p>
        </w:tc>
        <w:tc>
          <w:tcPr>
            <w:tcW w:w="2988" w:type="dxa"/>
            <w:hideMark/>
          </w:tcPr>
          <w:p w:rsidR="00676AED" w:rsidRPr="00676AED" w:rsidRDefault="00676AED">
            <w:pPr>
              <w:rPr>
                <w:rFonts w:ascii="Calibri" w:hAnsi="Calibri"/>
              </w:rPr>
            </w:pPr>
            <w:r w:rsidRPr="00676AED">
              <w:rPr>
                <w:rFonts w:ascii="Calibri" w:hAnsi="Calibri"/>
              </w:rPr>
              <w:t>No MOU by 2012</w:t>
            </w:r>
          </w:p>
        </w:tc>
      </w:tr>
      <w:tr w:rsidR="00340FD8" w:rsidRPr="00676AED" w:rsidTr="00340FD8">
        <w:trPr>
          <w:trHeight w:val="1185"/>
        </w:trPr>
        <w:tc>
          <w:tcPr>
            <w:tcW w:w="2898" w:type="dxa"/>
            <w:vMerge w:val="restart"/>
            <w:hideMark/>
          </w:tcPr>
          <w:p w:rsidR="00676AED" w:rsidRPr="00676AED" w:rsidRDefault="00676AED">
            <w:pPr>
              <w:rPr>
                <w:rFonts w:ascii="Calibri" w:hAnsi="Calibri"/>
              </w:rPr>
            </w:pPr>
            <w:r w:rsidRPr="00676AED">
              <w:rPr>
                <w:rFonts w:ascii="Calibri" w:hAnsi="Calibri"/>
              </w:rPr>
              <w:t xml:space="preserve">Management effectiveness (measured by RAPPAM scores for system level and by METT for coastal and marine PAs) for Jamaica improved to minimum threshold by 2020. </w:t>
            </w:r>
          </w:p>
        </w:tc>
        <w:tc>
          <w:tcPr>
            <w:tcW w:w="3240" w:type="dxa"/>
            <w:hideMark/>
          </w:tcPr>
          <w:p w:rsidR="00676AED" w:rsidRPr="00676AED" w:rsidRDefault="00676AED">
            <w:pPr>
              <w:rPr>
                <w:rFonts w:ascii="Calibri" w:hAnsi="Calibri"/>
              </w:rPr>
            </w:pPr>
            <w:r w:rsidRPr="00676AED">
              <w:rPr>
                <w:rFonts w:ascii="Calibri" w:hAnsi="Calibri"/>
              </w:rPr>
              <w:t xml:space="preserve">RAPPAM system level score improvement </w:t>
            </w:r>
          </w:p>
        </w:tc>
        <w:tc>
          <w:tcPr>
            <w:tcW w:w="1440" w:type="dxa"/>
            <w:hideMark/>
          </w:tcPr>
          <w:p w:rsidR="00676AED" w:rsidRPr="00676AED" w:rsidRDefault="00676AED">
            <w:pPr>
              <w:rPr>
                <w:rFonts w:ascii="Calibri" w:hAnsi="Calibri"/>
              </w:rPr>
            </w:pPr>
            <w:r w:rsidRPr="00676AED">
              <w:rPr>
                <w:rFonts w:ascii="Calibri" w:hAnsi="Calibri"/>
              </w:rPr>
              <w:t>Country Rep: Donna</w:t>
            </w:r>
          </w:p>
        </w:tc>
        <w:tc>
          <w:tcPr>
            <w:tcW w:w="1440" w:type="dxa"/>
            <w:hideMark/>
          </w:tcPr>
          <w:p w:rsidR="00676AED" w:rsidRPr="00676AED" w:rsidRDefault="00676AED">
            <w:pPr>
              <w:rPr>
                <w:rFonts w:ascii="Calibri" w:hAnsi="Calibri"/>
              </w:rPr>
            </w:pPr>
            <w:r w:rsidRPr="00676AED">
              <w:rPr>
                <w:rFonts w:ascii="Calibri" w:hAnsi="Calibri"/>
              </w:rPr>
              <w:t>every 2 years, in keeping with CBD requirements</w:t>
            </w:r>
          </w:p>
        </w:tc>
        <w:tc>
          <w:tcPr>
            <w:tcW w:w="1170" w:type="dxa"/>
            <w:hideMark/>
          </w:tcPr>
          <w:p w:rsidR="00676AED" w:rsidRPr="00676AED" w:rsidRDefault="00676AED">
            <w:pPr>
              <w:rPr>
                <w:rFonts w:ascii="Calibri" w:hAnsi="Calibri"/>
              </w:rPr>
            </w:pPr>
            <w:r w:rsidRPr="00676AED">
              <w:rPr>
                <w:rFonts w:ascii="Calibri" w:hAnsi="Calibri"/>
              </w:rPr>
              <w:t>GEF project Steering Committee, donna, Phil/</w:t>
            </w:r>
            <w:r w:rsidR="00F11F4B" w:rsidRPr="00676AED">
              <w:rPr>
                <w:rFonts w:ascii="Calibri" w:hAnsi="Calibri"/>
              </w:rPr>
              <w:t>C</w:t>
            </w:r>
            <w:r w:rsidR="00F11F4B">
              <w:rPr>
                <w:rFonts w:ascii="Calibri" w:hAnsi="Calibri"/>
              </w:rPr>
              <w:t>aribbean</w:t>
            </w:r>
            <w:r w:rsidRPr="00676AED">
              <w:rPr>
                <w:rFonts w:ascii="Calibri" w:hAnsi="Calibri"/>
              </w:rPr>
              <w:t xml:space="preserve"> mgmt team</w:t>
            </w:r>
          </w:p>
        </w:tc>
        <w:tc>
          <w:tcPr>
            <w:tcW w:w="2988" w:type="dxa"/>
            <w:hideMark/>
          </w:tcPr>
          <w:p w:rsidR="00676AED" w:rsidRPr="00676AED" w:rsidRDefault="00676AED">
            <w:pPr>
              <w:rPr>
                <w:rFonts w:ascii="Calibri" w:hAnsi="Calibri"/>
              </w:rPr>
            </w:pPr>
            <w:r w:rsidRPr="00676AED">
              <w:rPr>
                <w:rFonts w:ascii="Calibri" w:hAnsi="Calibri"/>
              </w:rPr>
              <w:t>No increase in scores, threshold not met by 2013</w:t>
            </w:r>
          </w:p>
        </w:tc>
      </w:tr>
      <w:tr w:rsidR="00340FD8" w:rsidRPr="00676AED" w:rsidTr="00340FD8">
        <w:trPr>
          <w:trHeight w:val="1065"/>
        </w:trPr>
        <w:tc>
          <w:tcPr>
            <w:tcW w:w="2898" w:type="dxa"/>
            <w:vMerge/>
            <w:hideMark/>
          </w:tcPr>
          <w:p w:rsidR="00676AED" w:rsidRPr="00676AED" w:rsidRDefault="00676AED">
            <w:pPr>
              <w:rPr>
                <w:rFonts w:ascii="Calibri" w:hAnsi="Calibri"/>
              </w:rPr>
            </w:pPr>
          </w:p>
        </w:tc>
        <w:tc>
          <w:tcPr>
            <w:tcW w:w="3240" w:type="dxa"/>
            <w:hideMark/>
          </w:tcPr>
          <w:p w:rsidR="00676AED" w:rsidRPr="00676AED" w:rsidRDefault="00676AED">
            <w:pPr>
              <w:rPr>
                <w:rFonts w:ascii="Calibri" w:hAnsi="Calibri"/>
              </w:rPr>
            </w:pPr>
            <w:r w:rsidRPr="00676AED">
              <w:rPr>
                <w:rFonts w:ascii="Calibri" w:hAnsi="Calibri"/>
              </w:rPr>
              <w:t>METT score improvement for MPAs. (Discuss with country the GEF percentage increase for METT score)</w:t>
            </w:r>
          </w:p>
        </w:tc>
        <w:tc>
          <w:tcPr>
            <w:tcW w:w="1440" w:type="dxa"/>
            <w:hideMark/>
          </w:tcPr>
          <w:p w:rsidR="00676AED" w:rsidRPr="00676AED" w:rsidRDefault="00676AED">
            <w:pPr>
              <w:rPr>
                <w:rFonts w:ascii="Calibri" w:hAnsi="Calibri"/>
              </w:rPr>
            </w:pPr>
            <w:r w:rsidRPr="00676AED">
              <w:rPr>
                <w:rFonts w:ascii="Calibri" w:hAnsi="Calibri"/>
              </w:rPr>
              <w:t>Country Rep: Donna</w:t>
            </w:r>
          </w:p>
        </w:tc>
        <w:tc>
          <w:tcPr>
            <w:tcW w:w="1440" w:type="dxa"/>
            <w:hideMark/>
          </w:tcPr>
          <w:p w:rsidR="00676AED" w:rsidRPr="00676AED" w:rsidRDefault="00676AED">
            <w:pPr>
              <w:rPr>
                <w:rFonts w:ascii="Calibri" w:hAnsi="Calibri"/>
              </w:rPr>
            </w:pPr>
            <w:r w:rsidRPr="00676AED">
              <w:rPr>
                <w:rFonts w:ascii="Calibri" w:hAnsi="Calibri"/>
              </w:rPr>
              <w:t> </w:t>
            </w:r>
          </w:p>
        </w:tc>
        <w:tc>
          <w:tcPr>
            <w:tcW w:w="1170" w:type="dxa"/>
            <w:hideMark/>
          </w:tcPr>
          <w:p w:rsidR="00676AED" w:rsidRPr="00676AED" w:rsidRDefault="00676AED">
            <w:pPr>
              <w:rPr>
                <w:rFonts w:ascii="Calibri" w:hAnsi="Calibri"/>
              </w:rPr>
            </w:pPr>
            <w:r w:rsidRPr="00676AED">
              <w:rPr>
                <w:rFonts w:ascii="Calibri" w:hAnsi="Calibri"/>
              </w:rPr>
              <w:t> </w:t>
            </w:r>
          </w:p>
        </w:tc>
        <w:tc>
          <w:tcPr>
            <w:tcW w:w="2988" w:type="dxa"/>
            <w:hideMark/>
          </w:tcPr>
          <w:p w:rsidR="00676AED" w:rsidRPr="00676AED" w:rsidRDefault="00676AED">
            <w:pPr>
              <w:rPr>
                <w:rFonts w:ascii="Calibri" w:hAnsi="Calibri"/>
              </w:rPr>
            </w:pPr>
            <w:r w:rsidRPr="00676AED">
              <w:rPr>
                <w:rFonts w:ascii="Calibri" w:hAnsi="Calibri"/>
              </w:rPr>
              <w:t>No increase in scores, threshold not met by 2014</w:t>
            </w:r>
          </w:p>
        </w:tc>
      </w:tr>
      <w:tr w:rsidR="00340FD8" w:rsidRPr="00676AED" w:rsidTr="00340FD8">
        <w:trPr>
          <w:trHeight w:val="1500"/>
        </w:trPr>
        <w:tc>
          <w:tcPr>
            <w:tcW w:w="2898" w:type="dxa"/>
            <w:hideMark/>
          </w:tcPr>
          <w:p w:rsidR="00676AED" w:rsidRPr="00676AED" w:rsidRDefault="00676AED">
            <w:pPr>
              <w:rPr>
                <w:rFonts w:ascii="Calibri" w:hAnsi="Calibri"/>
              </w:rPr>
            </w:pPr>
            <w:r w:rsidRPr="00676AED">
              <w:rPr>
                <w:rFonts w:ascii="Calibri" w:hAnsi="Calibri"/>
              </w:rPr>
              <w:t>By 2015, determine the socio-economic values of selected MPAs and incorporate into site management plans.</w:t>
            </w:r>
          </w:p>
        </w:tc>
        <w:tc>
          <w:tcPr>
            <w:tcW w:w="3240" w:type="dxa"/>
            <w:hideMark/>
          </w:tcPr>
          <w:p w:rsidR="00676AED" w:rsidRPr="00676AED" w:rsidRDefault="00676AED">
            <w:pPr>
              <w:rPr>
                <w:rFonts w:ascii="Calibri" w:hAnsi="Calibri"/>
              </w:rPr>
            </w:pPr>
            <w:r w:rsidRPr="00676AED">
              <w:rPr>
                <w:rFonts w:ascii="Calibri" w:hAnsi="Calibri"/>
              </w:rPr>
              <w:t>PA management plans include MPA values and stakeholder use assessment of ecosystem goods and services related to :   Livelihoods, life support, empowerment, cultural significance etc.</w:t>
            </w:r>
          </w:p>
        </w:tc>
        <w:tc>
          <w:tcPr>
            <w:tcW w:w="1440" w:type="dxa"/>
            <w:hideMark/>
          </w:tcPr>
          <w:p w:rsidR="00676AED" w:rsidRPr="00676AED" w:rsidRDefault="00676AED">
            <w:pPr>
              <w:rPr>
                <w:rFonts w:ascii="Calibri" w:hAnsi="Calibri"/>
              </w:rPr>
            </w:pPr>
            <w:r w:rsidRPr="00676AED">
              <w:rPr>
                <w:rFonts w:ascii="Calibri" w:hAnsi="Calibri"/>
              </w:rPr>
              <w:t xml:space="preserve">Country Rep: Donna </w:t>
            </w:r>
            <w:r w:rsidR="005E76BA" w:rsidRPr="00676AED">
              <w:rPr>
                <w:rFonts w:ascii="Calibri" w:hAnsi="Calibri"/>
              </w:rPr>
              <w:t>Bla</w:t>
            </w:r>
            <w:r w:rsidR="005E76BA">
              <w:rPr>
                <w:rFonts w:ascii="Calibri" w:hAnsi="Calibri"/>
              </w:rPr>
              <w:t>k</w:t>
            </w:r>
            <w:r w:rsidR="005E76BA" w:rsidRPr="00676AED">
              <w:rPr>
                <w:rFonts w:ascii="Calibri" w:hAnsi="Calibri"/>
              </w:rPr>
              <w:t>e</w:t>
            </w:r>
            <w:r w:rsidRPr="00676AED">
              <w:rPr>
                <w:rFonts w:ascii="Calibri" w:hAnsi="Calibri"/>
              </w:rPr>
              <w:t xml:space="preserve"> or Llewelyn Meggs</w:t>
            </w:r>
          </w:p>
        </w:tc>
        <w:tc>
          <w:tcPr>
            <w:tcW w:w="1440" w:type="dxa"/>
            <w:hideMark/>
          </w:tcPr>
          <w:p w:rsidR="00676AED" w:rsidRPr="00676AED" w:rsidRDefault="00676AED">
            <w:pPr>
              <w:rPr>
                <w:rFonts w:ascii="Calibri" w:hAnsi="Calibri"/>
              </w:rPr>
            </w:pPr>
            <w:r w:rsidRPr="00676AED">
              <w:rPr>
                <w:rFonts w:ascii="Calibri" w:hAnsi="Calibri"/>
              </w:rPr>
              <w:t> </w:t>
            </w:r>
          </w:p>
        </w:tc>
        <w:tc>
          <w:tcPr>
            <w:tcW w:w="1170" w:type="dxa"/>
            <w:noWrap/>
            <w:hideMark/>
          </w:tcPr>
          <w:p w:rsidR="00676AED" w:rsidRPr="00676AED" w:rsidRDefault="00676AED">
            <w:pPr>
              <w:rPr>
                <w:rFonts w:ascii="Calibri" w:hAnsi="Calibri"/>
              </w:rPr>
            </w:pPr>
            <w:r w:rsidRPr="00676AED">
              <w:rPr>
                <w:rFonts w:ascii="Calibri" w:hAnsi="Calibri"/>
              </w:rPr>
              <w:t> </w:t>
            </w:r>
          </w:p>
        </w:tc>
        <w:tc>
          <w:tcPr>
            <w:tcW w:w="2988" w:type="dxa"/>
            <w:hideMark/>
          </w:tcPr>
          <w:p w:rsidR="00676AED" w:rsidRPr="00676AED" w:rsidRDefault="00676AED">
            <w:pPr>
              <w:rPr>
                <w:rFonts w:ascii="Calibri" w:hAnsi="Calibri"/>
              </w:rPr>
            </w:pPr>
            <w:r w:rsidRPr="00676AED">
              <w:rPr>
                <w:rFonts w:ascii="Calibri" w:hAnsi="Calibri"/>
              </w:rPr>
              <w:t> </w:t>
            </w:r>
          </w:p>
        </w:tc>
      </w:tr>
      <w:tr w:rsidR="00340FD8" w:rsidRPr="00676AED" w:rsidTr="00340FD8">
        <w:trPr>
          <w:trHeight w:val="1500"/>
        </w:trPr>
        <w:tc>
          <w:tcPr>
            <w:tcW w:w="2898" w:type="dxa"/>
            <w:hideMark/>
          </w:tcPr>
          <w:p w:rsidR="00676AED" w:rsidRPr="00676AED" w:rsidRDefault="00676AED">
            <w:pPr>
              <w:rPr>
                <w:rFonts w:ascii="Calibri" w:hAnsi="Calibri"/>
              </w:rPr>
            </w:pPr>
            <w:r w:rsidRPr="00676AED">
              <w:rPr>
                <w:rFonts w:ascii="Calibri" w:hAnsi="Calibri"/>
              </w:rPr>
              <w:t>Determine the socio-economic impacts of MPA enhancement/ expansion on human well-being</w:t>
            </w:r>
          </w:p>
        </w:tc>
        <w:tc>
          <w:tcPr>
            <w:tcW w:w="3240" w:type="dxa"/>
            <w:hideMark/>
          </w:tcPr>
          <w:p w:rsidR="00676AED" w:rsidRPr="00676AED" w:rsidRDefault="00676AED">
            <w:pPr>
              <w:rPr>
                <w:rFonts w:ascii="Calibri" w:hAnsi="Calibri"/>
              </w:rPr>
            </w:pPr>
            <w:r w:rsidRPr="00676AED">
              <w:rPr>
                <w:rFonts w:ascii="Calibri" w:hAnsi="Calibri"/>
              </w:rPr>
              <w:t>MPA impact assessment including stakeholder KAP and other social surveys.</w:t>
            </w:r>
          </w:p>
        </w:tc>
        <w:tc>
          <w:tcPr>
            <w:tcW w:w="1440" w:type="dxa"/>
            <w:hideMark/>
          </w:tcPr>
          <w:p w:rsidR="00676AED" w:rsidRPr="00676AED" w:rsidRDefault="00676AED">
            <w:pPr>
              <w:rPr>
                <w:rFonts w:ascii="Calibri" w:hAnsi="Calibri"/>
              </w:rPr>
            </w:pPr>
            <w:r w:rsidRPr="00676AED">
              <w:rPr>
                <w:rFonts w:ascii="Calibri" w:hAnsi="Calibri"/>
              </w:rPr>
              <w:t>Country Rep: Donna Blake or Policy Assistant</w:t>
            </w:r>
          </w:p>
        </w:tc>
        <w:tc>
          <w:tcPr>
            <w:tcW w:w="1440" w:type="dxa"/>
            <w:hideMark/>
          </w:tcPr>
          <w:p w:rsidR="00676AED" w:rsidRPr="00676AED" w:rsidRDefault="00676AED">
            <w:pPr>
              <w:rPr>
                <w:rFonts w:ascii="Calibri" w:hAnsi="Calibri"/>
              </w:rPr>
            </w:pPr>
            <w:r w:rsidRPr="00676AED">
              <w:rPr>
                <w:rFonts w:ascii="Calibri" w:hAnsi="Calibri"/>
              </w:rPr>
              <w:t> </w:t>
            </w:r>
          </w:p>
        </w:tc>
        <w:tc>
          <w:tcPr>
            <w:tcW w:w="1170" w:type="dxa"/>
            <w:noWrap/>
            <w:hideMark/>
          </w:tcPr>
          <w:p w:rsidR="00676AED" w:rsidRPr="00676AED" w:rsidRDefault="00676AED">
            <w:pPr>
              <w:rPr>
                <w:rFonts w:ascii="Calibri" w:hAnsi="Calibri"/>
              </w:rPr>
            </w:pPr>
            <w:r w:rsidRPr="00676AED">
              <w:rPr>
                <w:rFonts w:ascii="Calibri" w:hAnsi="Calibri"/>
              </w:rPr>
              <w:t> </w:t>
            </w:r>
          </w:p>
        </w:tc>
        <w:tc>
          <w:tcPr>
            <w:tcW w:w="2988" w:type="dxa"/>
            <w:hideMark/>
          </w:tcPr>
          <w:p w:rsidR="00676AED" w:rsidRPr="00676AED" w:rsidRDefault="00676AED">
            <w:pPr>
              <w:rPr>
                <w:rFonts w:ascii="Calibri" w:hAnsi="Calibri"/>
              </w:rPr>
            </w:pPr>
            <w:r w:rsidRPr="00676AED">
              <w:rPr>
                <w:rFonts w:ascii="Calibri" w:hAnsi="Calibri"/>
              </w:rPr>
              <w:t> </w:t>
            </w:r>
          </w:p>
        </w:tc>
      </w:tr>
      <w:tr w:rsidR="00340FD8" w:rsidRPr="00676AED" w:rsidTr="00340FD8">
        <w:trPr>
          <w:trHeight w:val="1500"/>
        </w:trPr>
        <w:tc>
          <w:tcPr>
            <w:tcW w:w="2898" w:type="dxa"/>
            <w:hideMark/>
          </w:tcPr>
          <w:p w:rsidR="00676AED" w:rsidRPr="00676AED" w:rsidRDefault="00676AED">
            <w:pPr>
              <w:rPr>
                <w:rFonts w:ascii="Calibri" w:hAnsi="Calibri"/>
              </w:rPr>
            </w:pPr>
            <w:r w:rsidRPr="00676AED">
              <w:rPr>
                <w:rFonts w:ascii="Calibri" w:hAnsi="Calibri"/>
              </w:rPr>
              <w:t>By 2020, MPA management capacity improved</w:t>
            </w:r>
          </w:p>
        </w:tc>
        <w:tc>
          <w:tcPr>
            <w:tcW w:w="3240" w:type="dxa"/>
            <w:hideMark/>
          </w:tcPr>
          <w:p w:rsidR="00676AED" w:rsidRPr="00676AED" w:rsidRDefault="00676AED">
            <w:pPr>
              <w:rPr>
                <w:rFonts w:ascii="Calibri" w:hAnsi="Calibri"/>
              </w:rPr>
            </w:pPr>
            <w:r w:rsidRPr="00676AED">
              <w:rPr>
                <w:rFonts w:ascii="Calibri" w:hAnsi="Calibri"/>
              </w:rPr>
              <w:t xml:space="preserve">Relevant RAPPAM or METT measures of staffing level and skills in PA management agencies (Use GEF FSP scorecard indicators: minimum, basic, </w:t>
            </w:r>
            <w:r w:rsidR="00F11F4B" w:rsidRPr="00676AED">
              <w:rPr>
                <w:rFonts w:ascii="Calibri" w:hAnsi="Calibri"/>
              </w:rPr>
              <w:t>and ideal</w:t>
            </w:r>
            <w:r w:rsidRPr="00676AED">
              <w:rPr>
                <w:rFonts w:ascii="Calibri" w:hAnsi="Calibri"/>
              </w:rPr>
              <w:t>?)</w:t>
            </w:r>
          </w:p>
        </w:tc>
        <w:tc>
          <w:tcPr>
            <w:tcW w:w="1440" w:type="dxa"/>
            <w:hideMark/>
          </w:tcPr>
          <w:p w:rsidR="00676AED" w:rsidRPr="00676AED" w:rsidRDefault="00676AED">
            <w:pPr>
              <w:rPr>
                <w:rFonts w:ascii="Calibri" w:hAnsi="Calibri"/>
              </w:rPr>
            </w:pPr>
            <w:r w:rsidRPr="00676AED">
              <w:rPr>
                <w:rFonts w:ascii="Calibri" w:hAnsi="Calibri"/>
              </w:rPr>
              <w:t>Country Rep: Donna Blake or Policy Assistant</w:t>
            </w:r>
          </w:p>
        </w:tc>
        <w:tc>
          <w:tcPr>
            <w:tcW w:w="1440" w:type="dxa"/>
            <w:hideMark/>
          </w:tcPr>
          <w:p w:rsidR="00676AED" w:rsidRPr="00676AED" w:rsidRDefault="00676AED">
            <w:pPr>
              <w:rPr>
                <w:rFonts w:ascii="Calibri" w:hAnsi="Calibri"/>
              </w:rPr>
            </w:pPr>
            <w:r w:rsidRPr="00676AED">
              <w:rPr>
                <w:rFonts w:ascii="Calibri" w:hAnsi="Calibri"/>
              </w:rPr>
              <w:t>Every 2 years</w:t>
            </w:r>
          </w:p>
        </w:tc>
        <w:tc>
          <w:tcPr>
            <w:tcW w:w="1170" w:type="dxa"/>
            <w:noWrap/>
            <w:hideMark/>
          </w:tcPr>
          <w:p w:rsidR="00676AED" w:rsidRPr="00676AED" w:rsidRDefault="00676AED">
            <w:pPr>
              <w:rPr>
                <w:rFonts w:ascii="Calibri" w:hAnsi="Calibri"/>
              </w:rPr>
            </w:pPr>
            <w:r w:rsidRPr="00676AED">
              <w:rPr>
                <w:rFonts w:ascii="Calibri" w:hAnsi="Calibri"/>
              </w:rPr>
              <w:t> </w:t>
            </w:r>
          </w:p>
        </w:tc>
        <w:tc>
          <w:tcPr>
            <w:tcW w:w="2988" w:type="dxa"/>
            <w:hideMark/>
          </w:tcPr>
          <w:p w:rsidR="00676AED" w:rsidRPr="00676AED" w:rsidRDefault="00676AED">
            <w:pPr>
              <w:rPr>
                <w:rFonts w:ascii="Calibri" w:hAnsi="Calibri"/>
              </w:rPr>
            </w:pPr>
            <w:r w:rsidRPr="00676AED">
              <w:rPr>
                <w:rFonts w:ascii="Calibri" w:hAnsi="Calibri"/>
              </w:rPr>
              <w:t>No improvement in management capacity by end of 2015: review MPA enhancement strategy</w:t>
            </w:r>
          </w:p>
        </w:tc>
      </w:tr>
    </w:tbl>
    <w:p w:rsidR="007C4D90" w:rsidRDefault="007C4D90">
      <w:pPr>
        <w:rPr>
          <w:rFonts w:ascii="Calibri" w:hAnsi="Calibri"/>
          <w:lang w:val="en-029"/>
        </w:rPr>
      </w:pPr>
    </w:p>
    <w:p w:rsidR="002D5408" w:rsidRDefault="002D5408">
      <w:pPr>
        <w:rPr>
          <w:rFonts w:ascii="Calibri" w:hAnsi="Calibri"/>
          <w:lang w:val="en-029"/>
        </w:rPr>
      </w:pPr>
      <w:r>
        <w:rPr>
          <w:rFonts w:ascii="Calibri" w:hAnsi="Calibri"/>
          <w:lang w:val="en-029"/>
        </w:rPr>
        <w:br w:type="page"/>
      </w:r>
    </w:p>
    <w:p w:rsidR="0009007D" w:rsidRDefault="0009007D" w:rsidP="0009007D">
      <w:pPr>
        <w:pStyle w:val="Heading1"/>
        <w:rPr>
          <w:lang w:val="en-029"/>
        </w:rPr>
      </w:pPr>
      <w:bookmarkStart w:id="28" w:name="_Toc295219035"/>
      <w:r>
        <w:rPr>
          <w:lang w:val="en-029"/>
        </w:rPr>
        <w:lastRenderedPageBreak/>
        <w:t xml:space="preserve">Appendix V: </w:t>
      </w:r>
      <w:r w:rsidR="00F9702A">
        <w:rPr>
          <w:lang w:val="en-029"/>
        </w:rPr>
        <w:t xml:space="preserve">Caribbean Challenge Initiative </w:t>
      </w:r>
      <w:r>
        <w:rPr>
          <w:lang w:val="en-029"/>
        </w:rPr>
        <w:t>implementation in the Eastern Caribbean</w:t>
      </w:r>
      <w:bookmarkEnd w:id="28"/>
    </w:p>
    <w:p w:rsidR="00F060CA" w:rsidRDefault="0009007D" w:rsidP="0009007D">
      <w:pPr>
        <w:spacing w:after="0"/>
        <w:rPr>
          <w:rFonts w:ascii="Calibri" w:hAnsi="Calibri"/>
          <w:lang w:val="en-029"/>
        </w:rPr>
      </w:pPr>
      <w:r>
        <w:rPr>
          <w:rFonts w:ascii="Calibri" w:hAnsi="Calibri"/>
          <w:lang w:val="en-029"/>
        </w:rPr>
        <w:t xml:space="preserve"> </w:t>
      </w:r>
      <w:r w:rsidR="00F060CA">
        <w:rPr>
          <w:rFonts w:ascii="Calibri" w:hAnsi="Calibri"/>
          <w:lang w:val="en-029"/>
        </w:rPr>
        <w:t>(</w:t>
      </w:r>
      <w:r w:rsidR="00F060CA" w:rsidRPr="00917B65">
        <w:rPr>
          <w:rFonts w:ascii="Calibri" w:hAnsi="Calibri"/>
          <w:lang w:val="en-029"/>
        </w:rPr>
        <w:t>Antigua &amp; Barbuda, Grenada, St. Lucia, St. Kitts &amp; Nevis, and St. Vincent and the Grenadines</w:t>
      </w:r>
      <w:r w:rsidR="00F060CA">
        <w:rPr>
          <w:rFonts w:ascii="Calibri" w:hAnsi="Calibri"/>
          <w:lang w:val="en-029"/>
        </w:rPr>
        <w:t>)</w:t>
      </w:r>
    </w:p>
    <w:p w:rsidR="00F060CA" w:rsidRDefault="00F060CA" w:rsidP="00F060CA">
      <w:pPr>
        <w:spacing w:after="0"/>
        <w:rPr>
          <w:rFonts w:ascii="Calibri" w:hAnsi="Calibri"/>
          <w:lang w:val="en-029"/>
        </w:rPr>
      </w:pPr>
    </w:p>
    <w:p w:rsidR="00340FD8" w:rsidRDefault="00340FD8" w:rsidP="00340FD8">
      <w:pPr>
        <w:pStyle w:val="Caption"/>
        <w:keepNext/>
      </w:pPr>
      <w:r w:rsidRPr="00F349F1">
        <w:t xml:space="preserve">Objectives and Indicators for </w:t>
      </w:r>
      <w:r w:rsidR="00F9702A">
        <w:t xml:space="preserve">Caribbean Challenge Initiative </w:t>
      </w:r>
      <w:r>
        <w:t>implementation in the Eastern Caribbean</w:t>
      </w:r>
    </w:p>
    <w:tbl>
      <w:tblPr>
        <w:tblStyle w:val="TableGrid"/>
        <w:tblW w:w="0" w:type="auto"/>
        <w:tblLayout w:type="fixed"/>
        <w:tblLook w:val="04A0"/>
      </w:tblPr>
      <w:tblGrid>
        <w:gridCol w:w="3258"/>
        <w:gridCol w:w="3690"/>
        <w:gridCol w:w="1350"/>
        <w:gridCol w:w="1380"/>
        <w:gridCol w:w="1500"/>
        <w:gridCol w:w="1998"/>
      </w:tblGrid>
      <w:tr w:rsidR="00340FD8" w:rsidRPr="00340FD8" w:rsidTr="00340FD8">
        <w:trPr>
          <w:trHeight w:val="315"/>
          <w:tblHeader/>
        </w:trPr>
        <w:tc>
          <w:tcPr>
            <w:tcW w:w="3258" w:type="dxa"/>
            <w:hideMark/>
          </w:tcPr>
          <w:p w:rsidR="00340FD8" w:rsidRPr="00340FD8" w:rsidRDefault="00340FD8" w:rsidP="00340FD8">
            <w:pPr>
              <w:rPr>
                <w:rFonts w:ascii="Calibri" w:hAnsi="Calibri"/>
                <w:b/>
                <w:bCs/>
              </w:rPr>
            </w:pPr>
            <w:r w:rsidRPr="00340FD8">
              <w:rPr>
                <w:rFonts w:ascii="Calibri" w:hAnsi="Calibri"/>
                <w:b/>
                <w:bCs/>
              </w:rPr>
              <w:t xml:space="preserve">Objective </w:t>
            </w:r>
          </w:p>
        </w:tc>
        <w:tc>
          <w:tcPr>
            <w:tcW w:w="3690" w:type="dxa"/>
            <w:hideMark/>
          </w:tcPr>
          <w:p w:rsidR="00340FD8" w:rsidRPr="00340FD8" w:rsidRDefault="00340FD8" w:rsidP="00340FD8">
            <w:pPr>
              <w:rPr>
                <w:rFonts w:ascii="Calibri" w:hAnsi="Calibri"/>
                <w:b/>
                <w:bCs/>
              </w:rPr>
            </w:pPr>
            <w:r w:rsidRPr="00340FD8">
              <w:rPr>
                <w:rFonts w:ascii="Calibri" w:hAnsi="Calibri"/>
                <w:b/>
                <w:bCs/>
              </w:rPr>
              <w:t>Indicators</w:t>
            </w:r>
          </w:p>
        </w:tc>
        <w:tc>
          <w:tcPr>
            <w:tcW w:w="1350" w:type="dxa"/>
            <w:hideMark/>
          </w:tcPr>
          <w:p w:rsidR="00340FD8" w:rsidRPr="00340FD8" w:rsidRDefault="00340FD8" w:rsidP="00340FD8">
            <w:pPr>
              <w:rPr>
                <w:rFonts w:ascii="Calibri" w:hAnsi="Calibri"/>
                <w:b/>
                <w:bCs/>
              </w:rPr>
            </w:pPr>
            <w:r w:rsidRPr="00340FD8">
              <w:rPr>
                <w:rFonts w:ascii="Calibri" w:hAnsi="Calibri"/>
                <w:b/>
                <w:bCs/>
              </w:rPr>
              <w:t>Who monitors</w:t>
            </w:r>
          </w:p>
        </w:tc>
        <w:tc>
          <w:tcPr>
            <w:tcW w:w="1380" w:type="dxa"/>
            <w:hideMark/>
          </w:tcPr>
          <w:p w:rsidR="00340FD8" w:rsidRPr="00340FD8" w:rsidRDefault="00340FD8" w:rsidP="00340FD8">
            <w:pPr>
              <w:rPr>
                <w:rFonts w:ascii="Calibri" w:hAnsi="Calibri"/>
                <w:b/>
                <w:bCs/>
              </w:rPr>
            </w:pPr>
            <w:r w:rsidRPr="00340FD8">
              <w:rPr>
                <w:rFonts w:ascii="Calibri" w:hAnsi="Calibri"/>
                <w:b/>
                <w:bCs/>
              </w:rPr>
              <w:t>Frequency</w:t>
            </w:r>
          </w:p>
        </w:tc>
        <w:tc>
          <w:tcPr>
            <w:tcW w:w="1500" w:type="dxa"/>
            <w:noWrap/>
            <w:hideMark/>
          </w:tcPr>
          <w:p w:rsidR="00340FD8" w:rsidRPr="00340FD8" w:rsidRDefault="00340FD8" w:rsidP="00340FD8">
            <w:pPr>
              <w:rPr>
                <w:rFonts w:ascii="Calibri" w:hAnsi="Calibri"/>
                <w:b/>
                <w:bCs/>
              </w:rPr>
            </w:pPr>
            <w:r w:rsidRPr="00340FD8">
              <w:rPr>
                <w:rFonts w:ascii="Calibri" w:hAnsi="Calibri"/>
                <w:b/>
                <w:bCs/>
              </w:rPr>
              <w:t>Audience</w:t>
            </w:r>
          </w:p>
        </w:tc>
        <w:tc>
          <w:tcPr>
            <w:tcW w:w="1998" w:type="dxa"/>
            <w:noWrap/>
            <w:hideMark/>
          </w:tcPr>
          <w:p w:rsidR="00340FD8" w:rsidRPr="00340FD8" w:rsidRDefault="00340FD8" w:rsidP="00340FD8">
            <w:pPr>
              <w:rPr>
                <w:rFonts w:ascii="Calibri" w:hAnsi="Calibri"/>
                <w:b/>
                <w:bCs/>
              </w:rPr>
            </w:pPr>
            <w:r w:rsidRPr="00340FD8">
              <w:rPr>
                <w:rFonts w:ascii="Calibri" w:hAnsi="Calibri"/>
                <w:b/>
                <w:bCs/>
              </w:rPr>
              <w:t>Decision-making trigger</w:t>
            </w:r>
          </w:p>
        </w:tc>
      </w:tr>
      <w:tr w:rsidR="00340FD8" w:rsidRPr="00340FD8" w:rsidTr="00340FD8">
        <w:trPr>
          <w:trHeight w:val="449"/>
        </w:trPr>
        <w:tc>
          <w:tcPr>
            <w:tcW w:w="13176" w:type="dxa"/>
            <w:gridSpan w:val="6"/>
            <w:hideMark/>
          </w:tcPr>
          <w:p w:rsidR="00340FD8" w:rsidRPr="00340FD8" w:rsidRDefault="00340FD8" w:rsidP="00340FD8">
            <w:pPr>
              <w:rPr>
                <w:rFonts w:ascii="Calibri" w:hAnsi="Calibri"/>
                <w:b/>
              </w:rPr>
            </w:pPr>
            <w:r w:rsidRPr="00340FD8">
              <w:rPr>
                <w:rFonts w:ascii="Calibri" w:hAnsi="Calibri"/>
                <w:b/>
              </w:rPr>
              <w:t>National Strategy Sustainable Financing of PAs: Establish dedicated and permanent sources of funding to improve management effectiveness within Caribbean Protected Areas.</w:t>
            </w:r>
          </w:p>
        </w:tc>
      </w:tr>
      <w:tr w:rsidR="00340FD8" w:rsidRPr="00340FD8" w:rsidTr="00340FD8">
        <w:trPr>
          <w:trHeight w:val="1800"/>
        </w:trPr>
        <w:tc>
          <w:tcPr>
            <w:tcW w:w="3258" w:type="dxa"/>
            <w:vMerge w:val="restart"/>
            <w:hideMark/>
          </w:tcPr>
          <w:p w:rsidR="00340FD8" w:rsidRPr="00340FD8" w:rsidRDefault="00340FD8" w:rsidP="00340FD8">
            <w:pPr>
              <w:rPr>
                <w:rFonts w:ascii="Calibri" w:hAnsi="Calibri"/>
              </w:rPr>
            </w:pPr>
            <w:r w:rsidRPr="00340FD8">
              <w:rPr>
                <w:rFonts w:ascii="Calibri" w:hAnsi="Calibri"/>
              </w:rPr>
              <w:t>By 2013 two and by 2015 4 conforming NPATFs have been established and operational (see regional objective for definition. e.g. grants are being awarded, administration in place) through participatory process.</w:t>
            </w:r>
          </w:p>
        </w:tc>
        <w:tc>
          <w:tcPr>
            <w:tcW w:w="3690" w:type="dxa"/>
            <w:hideMark/>
          </w:tcPr>
          <w:p w:rsidR="00340FD8" w:rsidRPr="00340FD8" w:rsidRDefault="00340FD8" w:rsidP="00340FD8">
            <w:pPr>
              <w:rPr>
                <w:rFonts w:ascii="Calibri" w:hAnsi="Calibri"/>
              </w:rPr>
            </w:pPr>
            <w:r w:rsidRPr="00340FD8">
              <w:rPr>
                <w:rFonts w:ascii="Calibri" w:hAnsi="Calibri"/>
              </w:rPr>
              <w:t xml:space="preserve">Number of countries with NPATF legislation 1) drafted and 2) passed </w:t>
            </w:r>
          </w:p>
        </w:tc>
        <w:tc>
          <w:tcPr>
            <w:tcW w:w="1350" w:type="dxa"/>
            <w:hideMark/>
          </w:tcPr>
          <w:p w:rsidR="00340FD8" w:rsidRPr="00340FD8" w:rsidRDefault="00340FD8" w:rsidP="00340FD8">
            <w:pPr>
              <w:rPr>
                <w:rFonts w:ascii="Calibri" w:hAnsi="Calibri"/>
              </w:rPr>
            </w:pPr>
            <w:r w:rsidRPr="00340FD8">
              <w:rPr>
                <w:rFonts w:ascii="Calibri" w:hAnsi="Calibri"/>
              </w:rPr>
              <w:t>GEF Full-sized project coordinator</w:t>
            </w:r>
          </w:p>
        </w:tc>
        <w:tc>
          <w:tcPr>
            <w:tcW w:w="1380" w:type="dxa"/>
            <w:hideMark/>
          </w:tcPr>
          <w:p w:rsidR="00340FD8" w:rsidRPr="00340FD8" w:rsidRDefault="00340FD8" w:rsidP="00340FD8">
            <w:pPr>
              <w:rPr>
                <w:rFonts w:ascii="Calibri" w:hAnsi="Calibri"/>
              </w:rPr>
            </w:pPr>
            <w:r w:rsidRPr="00340FD8">
              <w:rPr>
                <w:rFonts w:ascii="Calibri" w:hAnsi="Calibri"/>
              </w:rPr>
              <w:t>Twice per year</w:t>
            </w:r>
          </w:p>
        </w:tc>
        <w:tc>
          <w:tcPr>
            <w:tcW w:w="1500" w:type="dxa"/>
            <w:hideMark/>
          </w:tcPr>
          <w:p w:rsidR="00340FD8" w:rsidRPr="00340FD8" w:rsidRDefault="00E505B5" w:rsidP="00340FD8">
            <w:pPr>
              <w:rPr>
                <w:rFonts w:ascii="Calibri" w:hAnsi="Calibri"/>
              </w:rPr>
            </w:pPr>
            <w:r>
              <w:rPr>
                <w:rFonts w:ascii="Calibri" w:hAnsi="Calibri"/>
              </w:rPr>
              <w:t xml:space="preserve">NISP, </w:t>
            </w:r>
            <w:r w:rsidR="00340FD8" w:rsidRPr="00340FD8">
              <w:rPr>
                <w:rFonts w:ascii="Calibri" w:hAnsi="Calibri"/>
              </w:rPr>
              <w:t xml:space="preserve">GEF Secretariat, World bank, OECS secretariat, KfW, TNC and other </w:t>
            </w:r>
            <w:r w:rsidR="00F9702A">
              <w:rPr>
                <w:rFonts w:ascii="Calibri" w:hAnsi="Calibri"/>
              </w:rPr>
              <w:t xml:space="preserve">Caribbean Challenge Initiative </w:t>
            </w:r>
            <w:r w:rsidR="00340FD8" w:rsidRPr="00340FD8">
              <w:rPr>
                <w:rFonts w:ascii="Calibri" w:hAnsi="Calibri"/>
              </w:rPr>
              <w:t>countries.</w:t>
            </w:r>
          </w:p>
        </w:tc>
        <w:tc>
          <w:tcPr>
            <w:tcW w:w="1998" w:type="dxa"/>
            <w:hideMark/>
          </w:tcPr>
          <w:p w:rsidR="00340FD8" w:rsidRPr="00340FD8" w:rsidRDefault="00340FD8" w:rsidP="00340FD8">
            <w:pPr>
              <w:rPr>
                <w:rFonts w:ascii="Calibri" w:hAnsi="Calibri"/>
              </w:rPr>
            </w:pPr>
            <w:r w:rsidRPr="00340FD8">
              <w:rPr>
                <w:rFonts w:ascii="Calibri" w:hAnsi="Calibri"/>
              </w:rPr>
              <w:t xml:space="preserve">If no draft legislation submitted for AG review by Oct 2012, then </w:t>
            </w:r>
            <w:r w:rsidR="002F765B">
              <w:rPr>
                <w:rFonts w:ascii="Calibri" w:hAnsi="Calibri"/>
              </w:rPr>
              <w:t>….?</w:t>
            </w:r>
          </w:p>
        </w:tc>
      </w:tr>
      <w:tr w:rsidR="00340FD8" w:rsidRPr="00340FD8" w:rsidTr="00340FD8">
        <w:trPr>
          <w:trHeight w:val="150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Participatory process involving relevant stakeholders (from government, non-government and private sectors) used in developing and establishing NPATF (related to GEF FSP reporting)</w:t>
            </w:r>
          </w:p>
        </w:tc>
        <w:tc>
          <w:tcPr>
            <w:tcW w:w="1350" w:type="dxa"/>
            <w:hideMark/>
          </w:tcPr>
          <w:p w:rsidR="00340FD8" w:rsidRPr="00340FD8" w:rsidRDefault="00340FD8" w:rsidP="00340FD8">
            <w:pPr>
              <w:rPr>
                <w:rFonts w:ascii="Calibri" w:hAnsi="Calibri"/>
              </w:rPr>
            </w:pPr>
            <w:r w:rsidRPr="00340FD8">
              <w:rPr>
                <w:rFonts w:ascii="Calibri" w:hAnsi="Calibri"/>
              </w:rPr>
              <w:t>GEF Full-sized project coordinator</w:t>
            </w:r>
          </w:p>
        </w:tc>
        <w:tc>
          <w:tcPr>
            <w:tcW w:w="1380" w:type="dxa"/>
            <w:hideMark/>
          </w:tcPr>
          <w:p w:rsidR="00340FD8" w:rsidRPr="00340FD8" w:rsidRDefault="00340FD8" w:rsidP="00340FD8">
            <w:pPr>
              <w:rPr>
                <w:rFonts w:ascii="Calibri" w:hAnsi="Calibri"/>
              </w:rPr>
            </w:pPr>
            <w:r w:rsidRPr="00340FD8">
              <w:rPr>
                <w:rFonts w:ascii="Calibri" w:hAnsi="Calibri"/>
              </w:rPr>
              <w:t>Quarterly per the GEF full-sized reporting schedule</w:t>
            </w:r>
          </w:p>
        </w:tc>
        <w:tc>
          <w:tcPr>
            <w:tcW w:w="1500" w:type="dxa"/>
            <w:hideMark/>
          </w:tcPr>
          <w:p w:rsidR="00340FD8" w:rsidRPr="00340FD8" w:rsidRDefault="00E505B5" w:rsidP="00340FD8">
            <w:pPr>
              <w:rPr>
                <w:rFonts w:ascii="Calibri" w:hAnsi="Calibri"/>
              </w:rPr>
            </w:pPr>
            <w:r>
              <w:rPr>
                <w:rFonts w:ascii="Calibri" w:hAnsi="Calibri"/>
              </w:rPr>
              <w:t xml:space="preserve">NISP, </w:t>
            </w:r>
            <w:r w:rsidR="00340FD8" w:rsidRPr="00340FD8">
              <w:rPr>
                <w:rFonts w:ascii="Calibri" w:hAnsi="Calibri"/>
              </w:rPr>
              <w:t xml:space="preserve">GEF Secretariat, World bank, OECS secretariat, KfW, TNC and other </w:t>
            </w:r>
            <w:r w:rsidR="00F9702A">
              <w:rPr>
                <w:rFonts w:ascii="Calibri" w:hAnsi="Calibri"/>
              </w:rPr>
              <w:t xml:space="preserve">Caribbean Challenge Initiative </w:t>
            </w:r>
            <w:r w:rsidR="00340FD8" w:rsidRPr="00340FD8">
              <w:rPr>
                <w:rFonts w:ascii="Calibri" w:hAnsi="Calibri"/>
              </w:rPr>
              <w:t>countries.</w:t>
            </w:r>
          </w:p>
        </w:tc>
        <w:tc>
          <w:tcPr>
            <w:tcW w:w="1998" w:type="dxa"/>
            <w:hideMark/>
          </w:tcPr>
          <w:p w:rsidR="00340FD8" w:rsidRPr="00340FD8" w:rsidRDefault="00340FD8" w:rsidP="00340FD8">
            <w:pPr>
              <w:rPr>
                <w:rFonts w:ascii="Calibri" w:hAnsi="Calibri"/>
              </w:rPr>
            </w:pPr>
            <w:r w:rsidRPr="00340FD8">
              <w:rPr>
                <w:rFonts w:ascii="Calibri" w:hAnsi="Calibri"/>
              </w:rPr>
              <w:t>If by January 2012 one or more major stakeholder group does not participate in process.</w:t>
            </w:r>
          </w:p>
        </w:tc>
      </w:tr>
      <w:tr w:rsidR="00340FD8" w:rsidRPr="00340FD8" w:rsidTr="00340FD8">
        <w:trPr>
          <w:trHeight w:val="141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Non-govt. majority board established in country and officers elected, administrative capacity in place.</w:t>
            </w:r>
          </w:p>
        </w:tc>
        <w:tc>
          <w:tcPr>
            <w:tcW w:w="1350" w:type="dxa"/>
            <w:hideMark/>
          </w:tcPr>
          <w:p w:rsidR="00340FD8" w:rsidRPr="00340FD8" w:rsidRDefault="00340FD8" w:rsidP="00340FD8">
            <w:pPr>
              <w:rPr>
                <w:rFonts w:ascii="Calibri" w:hAnsi="Calibri"/>
              </w:rPr>
            </w:pPr>
            <w:r w:rsidRPr="00340FD8">
              <w:rPr>
                <w:rFonts w:ascii="Calibri" w:hAnsi="Calibri"/>
              </w:rPr>
              <w:t>Acting ED: Rob Weary or GEF Full-sized project coordinator</w:t>
            </w:r>
          </w:p>
        </w:tc>
        <w:tc>
          <w:tcPr>
            <w:tcW w:w="1380" w:type="dxa"/>
            <w:hideMark/>
          </w:tcPr>
          <w:p w:rsidR="00340FD8" w:rsidRPr="00340FD8" w:rsidRDefault="00340FD8" w:rsidP="00340FD8">
            <w:pPr>
              <w:rPr>
                <w:rFonts w:ascii="Calibri" w:hAnsi="Calibri"/>
              </w:rPr>
            </w:pPr>
            <w:r w:rsidRPr="00340FD8">
              <w:rPr>
                <w:rFonts w:ascii="Calibri" w:hAnsi="Calibri"/>
              </w:rPr>
              <w:t>As each board is established.</w:t>
            </w:r>
          </w:p>
        </w:tc>
        <w:tc>
          <w:tcPr>
            <w:tcW w:w="1500" w:type="dxa"/>
            <w:hideMark/>
          </w:tcPr>
          <w:p w:rsidR="00340FD8" w:rsidRPr="00340FD8" w:rsidRDefault="00E505B5" w:rsidP="00340FD8">
            <w:pPr>
              <w:rPr>
                <w:rFonts w:ascii="Calibri" w:hAnsi="Calibri"/>
              </w:rPr>
            </w:pPr>
            <w:r>
              <w:rPr>
                <w:rFonts w:ascii="Calibri" w:hAnsi="Calibri"/>
              </w:rPr>
              <w:t xml:space="preserve">NISP, </w:t>
            </w:r>
            <w:r w:rsidR="00340FD8" w:rsidRPr="00340FD8">
              <w:rPr>
                <w:rFonts w:ascii="Calibri" w:hAnsi="Calibri"/>
              </w:rPr>
              <w:t xml:space="preserve">GEF Secretariat, World bank, OECS secretariat, KfW, TNC </w:t>
            </w:r>
          </w:p>
        </w:tc>
        <w:tc>
          <w:tcPr>
            <w:tcW w:w="1998" w:type="dxa"/>
            <w:hideMark/>
          </w:tcPr>
          <w:p w:rsidR="00340FD8" w:rsidRPr="00340FD8" w:rsidRDefault="00340FD8" w:rsidP="00340FD8">
            <w:pPr>
              <w:rPr>
                <w:rFonts w:ascii="Calibri" w:hAnsi="Calibri"/>
              </w:rPr>
            </w:pPr>
            <w:r w:rsidRPr="00340FD8">
              <w:rPr>
                <w:rFonts w:ascii="Calibri" w:hAnsi="Calibri"/>
              </w:rPr>
              <w:t>If by 1) March 2013 no board members identified / recruited  and 2) June 2013 no NPATF boards established</w:t>
            </w:r>
          </w:p>
        </w:tc>
      </w:tr>
      <w:tr w:rsidR="00340FD8" w:rsidRPr="00340FD8" w:rsidTr="00340FD8">
        <w:trPr>
          <w:trHeight w:val="195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Signed agreement b/w CBF and NPATF which include legal reviews, governance review, translation, administrative and financial review, agreement from government on operating mechanisms multiple ministries agreements signoff</w:t>
            </w:r>
          </w:p>
        </w:tc>
        <w:tc>
          <w:tcPr>
            <w:tcW w:w="1350" w:type="dxa"/>
            <w:hideMark/>
          </w:tcPr>
          <w:p w:rsidR="00340FD8" w:rsidRPr="00340FD8" w:rsidRDefault="00340FD8" w:rsidP="00340FD8">
            <w:pPr>
              <w:rPr>
                <w:rFonts w:ascii="Calibri" w:hAnsi="Calibri"/>
              </w:rPr>
            </w:pPr>
            <w:r w:rsidRPr="00340FD8">
              <w:rPr>
                <w:rFonts w:ascii="Calibri" w:hAnsi="Calibri"/>
              </w:rPr>
              <w:t> </w:t>
            </w:r>
            <w:r w:rsidR="002B3B40" w:rsidRPr="00340FD8">
              <w:rPr>
                <w:rFonts w:ascii="Calibri" w:hAnsi="Calibri"/>
              </w:rPr>
              <w:t>Rob Weary or GEF Full-sized project coordinator</w:t>
            </w:r>
          </w:p>
        </w:tc>
        <w:tc>
          <w:tcPr>
            <w:tcW w:w="1380" w:type="dxa"/>
            <w:hideMark/>
          </w:tcPr>
          <w:p w:rsidR="00340FD8" w:rsidRPr="00340FD8" w:rsidRDefault="00340FD8" w:rsidP="00340FD8">
            <w:pPr>
              <w:rPr>
                <w:rFonts w:ascii="Calibri" w:hAnsi="Calibri"/>
              </w:rPr>
            </w:pPr>
            <w:r w:rsidRPr="00340FD8">
              <w:rPr>
                <w:rFonts w:ascii="Calibri" w:hAnsi="Calibri"/>
              </w:rPr>
              <w:t> </w:t>
            </w:r>
            <w:r w:rsidR="002B3B40" w:rsidRPr="00340FD8">
              <w:rPr>
                <w:rFonts w:ascii="Calibri" w:hAnsi="Calibri"/>
              </w:rPr>
              <w:t>As each board is established</w:t>
            </w:r>
            <w:r w:rsidRPr="00340FD8">
              <w:rPr>
                <w:rFonts w:ascii="Calibri" w:hAnsi="Calibri"/>
              </w:rPr>
              <w:t> </w:t>
            </w:r>
            <w:r w:rsidR="002F765B">
              <w:rPr>
                <w:rFonts w:ascii="Calibri" w:hAnsi="Calibri"/>
              </w:rPr>
              <w:t>Why all the blanks?</w:t>
            </w:r>
          </w:p>
        </w:tc>
        <w:tc>
          <w:tcPr>
            <w:tcW w:w="1500" w:type="dxa"/>
            <w:hideMark/>
          </w:tcPr>
          <w:p w:rsidR="00340FD8" w:rsidRPr="00340FD8" w:rsidRDefault="00E505B5" w:rsidP="00340FD8">
            <w:pPr>
              <w:rPr>
                <w:rFonts w:ascii="Calibri" w:hAnsi="Calibri"/>
              </w:rPr>
            </w:pPr>
            <w:r>
              <w:rPr>
                <w:rFonts w:ascii="Calibri" w:hAnsi="Calibri"/>
              </w:rPr>
              <w:t xml:space="preserve">NISP, </w:t>
            </w:r>
            <w:r w:rsidR="002B3B40" w:rsidRPr="00340FD8">
              <w:rPr>
                <w:rFonts w:ascii="Calibri" w:hAnsi="Calibri"/>
              </w:rPr>
              <w:t>GEF Secretariat, World bank, OECS secretariat, KfW, TNC and other Caribbean Challenge countries.</w:t>
            </w:r>
          </w:p>
        </w:tc>
        <w:tc>
          <w:tcPr>
            <w:tcW w:w="1998" w:type="dxa"/>
            <w:hideMark/>
          </w:tcPr>
          <w:p w:rsidR="00340FD8" w:rsidRPr="00340FD8" w:rsidRDefault="00340FD8" w:rsidP="00340FD8">
            <w:pPr>
              <w:rPr>
                <w:rFonts w:ascii="Calibri" w:hAnsi="Calibri"/>
              </w:rPr>
            </w:pPr>
            <w:r w:rsidRPr="00340FD8">
              <w:rPr>
                <w:rFonts w:ascii="Calibri" w:hAnsi="Calibri"/>
              </w:rPr>
              <w:t> </w:t>
            </w:r>
            <w:r w:rsidR="002B3B40" w:rsidRPr="00340FD8">
              <w:rPr>
                <w:rFonts w:ascii="Calibri" w:hAnsi="Calibri"/>
              </w:rPr>
              <w:t xml:space="preserve">If by 1) March 2013 no </w:t>
            </w:r>
            <w:r w:rsidR="002B3B40">
              <w:rPr>
                <w:rFonts w:ascii="Calibri" w:hAnsi="Calibri"/>
              </w:rPr>
              <w:t>agreement drafted</w:t>
            </w:r>
            <w:r w:rsidR="002B3B40" w:rsidRPr="00340FD8">
              <w:rPr>
                <w:rFonts w:ascii="Calibri" w:hAnsi="Calibri"/>
              </w:rPr>
              <w:t xml:space="preserve"> 2) June 2013 no </w:t>
            </w:r>
            <w:r w:rsidR="002B3B40">
              <w:rPr>
                <w:rFonts w:ascii="Calibri" w:hAnsi="Calibri"/>
              </w:rPr>
              <w:t>signoff from ministries</w:t>
            </w:r>
          </w:p>
        </w:tc>
      </w:tr>
      <w:tr w:rsidR="00340FD8" w:rsidRPr="00340FD8" w:rsidTr="003B2351">
        <w:trPr>
          <w:trHeight w:val="132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NPATF perceived as credible and worthwhile institution as indicated by: 1)  Applications and 2) perception of legitimacy surveys of  stakeholder base</w:t>
            </w:r>
          </w:p>
        </w:tc>
        <w:tc>
          <w:tcPr>
            <w:tcW w:w="1350" w:type="dxa"/>
            <w:hideMark/>
          </w:tcPr>
          <w:p w:rsidR="00340FD8" w:rsidRPr="00340FD8" w:rsidRDefault="00340FD8" w:rsidP="00340FD8">
            <w:pPr>
              <w:rPr>
                <w:rFonts w:ascii="Calibri" w:hAnsi="Calibri"/>
              </w:rPr>
            </w:pPr>
            <w:r w:rsidRPr="00340FD8">
              <w:rPr>
                <w:rFonts w:ascii="Calibri" w:hAnsi="Calibri"/>
              </w:rPr>
              <w:t> </w:t>
            </w:r>
            <w:r w:rsidR="002B3B40">
              <w:rPr>
                <w:rFonts w:ascii="Calibri" w:hAnsi="Calibri"/>
              </w:rPr>
              <w:t>Independent review under GEF FSP</w:t>
            </w:r>
          </w:p>
        </w:tc>
        <w:tc>
          <w:tcPr>
            <w:tcW w:w="1380" w:type="dxa"/>
            <w:hideMark/>
          </w:tcPr>
          <w:p w:rsidR="00340FD8" w:rsidRPr="00340FD8" w:rsidRDefault="00340FD8" w:rsidP="00340FD8">
            <w:pPr>
              <w:rPr>
                <w:rFonts w:ascii="Calibri" w:hAnsi="Calibri"/>
              </w:rPr>
            </w:pPr>
            <w:r w:rsidRPr="00340FD8">
              <w:rPr>
                <w:rFonts w:ascii="Calibri" w:hAnsi="Calibri"/>
              </w:rPr>
              <w:t> </w:t>
            </w:r>
            <w:r w:rsidR="002B3B40">
              <w:rPr>
                <w:rFonts w:ascii="Calibri" w:hAnsi="Calibri"/>
              </w:rPr>
              <w:t>Once a year after establishment</w:t>
            </w:r>
          </w:p>
        </w:tc>
        <w:tc>
          <w:tcPr>
            <w:tcW w:w="1500" w:type="dxa"/>
            <w:hideMark/>
          </w:tcPr>
          <w:p w:rsidR="00340FD8" w:rsidRPr="00340FD8" w:rsidRDefault="00E505B5" w:rsidP="00340FD8">
            <w:pPr>
              <w:rPr>
                <w:rFonts w:ascii="Calibri" w:hAnsi="Calibri"/>
              </w:rPr>
            </w:pPr>
            <w:r>
              <w:rPr>
                <w:rFonts w:ascii="Calibri" w:hAnsi="Calibri"/>
              </w:rPr>
              <w:t xml:space="preserve">NISP. </w:t>
            </w:r>
            <w:r w:rsidR="002B3B40" w:rsidRPr="00340FD8">
              <w:rPr>
                <w:rFonts w:ascii="Calibri" w:hAnsi="Calibri"/>
              </w:rPr>
              <w:t>GEF Secretariat, World bank, OECS secretariat, KfW, TNC and other Caribbean Challenge countries.</w:t>
            </w:r>
            <w:r w:rsidR="002B3B40">
              <w:rPr>
                <w:rFonts w:ascii="Calibri" w:hAnsi="Calibri"/>
              </w:rPr>
              <w:t xml:space="preserve"> Potential donors</w:t>
            </w:r>
          </w:p>
        </w:tc>
        <w:tc>
          <w:tcPr>
            <w:tcW w:w="1998" w:type="dxa"/>
            <w:shd w:val="clear" w:color="auto" w:fill="D9D9D9" w:themeFill="background1" w:themeFillShade="D9"/>
            <w:hideMark/>
          </w:tcPr>
          <w:p w:rsidR="00340FD8" w:rsidRPr="00340FD8" w:rsidRDefault="00340FD8" w:rsidP="00340FD8">
            <w:pPr>
              <w:rPr>
                <w:rFonts w:ascii="Calibri" w:hAnsi="Calibri"/>
              </w:rPr>
            </w:pPr>
            <w:r w:rsidRPr="00340FD8">
              <w:rPr>
                <w:rFonts w:ascii="Calibri" w:hAnsi="Calibri"/>
              </w:rPr>
              <w:t> </w:t>
            </w:r>
          </w:p>
        </w:tc>
      </w:tr>
      <w:tr w:rsidR="00340FD8" w:rsidRPr="00340FD8" w:rsidTr="003B2351">
        <w:trPr>
          <w:trHeight w:val="1200"/>
        </w:trPr>
        <w:tc>
          <w:tcPr>
            <w:tcW w:w="3258" w:type="dxa"/>
            <w:vMerge w:val="restart"/>
            <w:hideMark/>
          </w:tcPr>
          <w:p w:rsidR="00340FD8" w:rsidRPr="00340FD8" w:rsidRDefault="00340FD8" w:rsidP="00340FD8">
            <w:pPr>
              <w:rPr>
                <w:rFonts w:ascii="Calibri" w:hAnsi="Calibri"/>
              </w:rPr>
            </w:pPr>
            <w:r w:rsidRPr="00340FD8">
              <w:rPr>
                <w:rFonts w:ascii="Calibri" w:hAnsi="Calibri"/>
              </w:rPr>
              <w:lastRenderedPageBreak/>
              <w:t>By 2015 2, and 4 by 2017, the full local revenue match to CBF incentives proceeds go to NPATFs</w:t>
            </w:r>
          </w:p>
        </w:tc>
        <w:tc>
          <w:tcPr>
            <w:tcW w:w="3690" w:type="dxa"/>
            <w:hideMark/>
          </w:tcPr>
          <w:p w:rsidR="00340FD8" w:rsidRPr="00340FD8" w:rsidRDefault="00340FD8" w:rsidP="00340FD8">
            <w:pPr>
              <w:rPr>
                <w:rFonts w:ascii="Calibri" w:hAnsi="Calibri"/>
              </w:rPr>
            </w:pPr>
            <w:r w:rsidRPr="00340FD8">
              <w:rPr>
                <w:rFonts w:ascii="Calibri" w:hAnsi="Calibri"/>
              </w:rPr>
              <w:t>Identification of New financial mechanisms via sust</w:t>
            </w:r>
            <w:r>
              <w:rPr>
                <w:rFonts w:ascii="Calibri" w:hAnsi="Calibri"/>
              </w:rPr>
              <w:t>ainable</w:t>
            </w:r>
            <w:r w:rsidRPr="00340FD8">
              <w:rPr>
                <w:rFonts w:ascii="Calibri" w:hAnsi="Calibri"/>
              </w:rPr>
              <w:t xml:space="preserve"> finance plan or other pp: NFM are established by government - etc. </w:t>
            </w:r>
          </w:p>
        </w:tc>
        <w:tc>
          <w:tcPr>
            <w:tcW w:w="1350" w:type="dxa"/>
            <w:shd w:val="clear" w:color="auto" w:fill="D9D9D9" w:themeFill="background1" w:themeFillShade="D9"/>
            <w:hideMark/>
          </w:tcPr>
          <w:p w:rsidR="00340FD8" w:rsidRPr="00340FD8" w:rsidRDefault="00340FD8" w:rsidP="00340FD8">
            <w:pPr>
              <w:rPr>
                <w:rFonts w:ascii="Calibri" w:hAnsi="Calibri"/>
              </w:rPr>
            </w:pPr>
            <w:r w:rsidRPr="00340FD8">
              <w:rPr>
                <w:rFonts w:ascii="Calibri" w:hAnsi="Calibri"/>
              </w:rPr>
              <w:t> </w:t>
            </w:r>
          </w:p>
        </w:tc>
        <w:tc>
          <w:tcPr>
            <w:tcW w:w="1380" w:type="dxa"/>
            <w:shd w:val="clear" w:color="auto" w:fill="D9D9D9" w:themeFill="background1" w:themeFillShade="D9"/>
            <w:hideMark/>
          </w:tcPr>
          <w:p w:rsidR="00340FD8" w:rsidRPr="00340FD8" w:rsidRDefault="00340FD8" w:rsidP="00340FD8">
            <w:pPr>
              <w:rPr>
                <w:rFonts w:ascii="Calibri" w:hAnsi="Calibri"/>
              </w:rPr>
            </w:pPr>
            <w:r w:rsidRPr="00340FD8">
              <w:rPr>
                <w:rFonts w:ascii="Calibri" w:hAnsi="Calibri"/>
              </w:rPr>
              <w:t> </w:t>
            </w:r>
          </w:p>
        </w:tc>
        <w:tc>
          <w:tcPr>
            <w:tcW w:w="1500" w:type="dxa"/>
            <w:shd w:val="clear" w:color="auto" w:fill="D9D9D9" w:themeFill="background1" w:themeFillShade="D9"/>
            <w:noWrap/>
            <w:hideMark/>
          </w:tcPr>
          <w:p w:rsidR="00340FD8" w:rsidRPr="00340FD8" w:rsidRDefault="00340FD8" w:rsidP="00340FD8">
            <w:pPr>
              <w:rPr>
                <w:rFonts w:ascii="Calibri" w:hAnsi="Calibri"/>
              </w:rPr>
            </w:pPr>
            <w:r w:rsidRPr="00340FD8">
              <w:rPr>
                <w:rFonts w:ascii="Calibri" w:hAnsi="Calibri"/>
              </w:rPr>
              <w:t> </w:t>
            </w:r>
          </w:p>
        </w:tc>
        <w:tc>
          <w:tcPr>
            <w:tcW w:w="1998" w:type="dxa"/>
            <w:noWrap/>
            <w:hideMark/>
          </w:tcPr>
          <w:p w:rsidR="00340FD8" w:rsidRPr="00340FD8" w:rsidRDefault="00340FD8" w:rsidP="00340FD8">
            <w:pPr>
              <w:rPr>
                <w:rFonts w:ascii="Calibri" w:hAnsi="Calibri"/>
              </w:rPr>
            </w:pPr>
            <w:r w:rsidRPr="00340FD8">
              <w:rPr>
                <w:rFonts w:ascii="Calibri" w:hAnsi="Calibri"/>
              </w:rPr>
              <w:t> </w:t>
            </w:r>
            <w:r w:rsidR="00C15E4E">
              <w:rPr>
                <w:rFonts w:ascii="Calibri" w:hAnsi="Calibri"/>
              </w:rPr>
              <w:t>Dec 2012</w:t>
            </w:r>
            <w:r w:rsidR="00C15E4E" w:rsidRPr="00676AED">
              <w:rPr>
                <w:rFonts w:ascii="Calibri" w:hAnsi="Calibri"/>
              </w:rPr>
              <w:t>- no new local financing mechanisms prioritised and on the way to approval (no expression of political will).</w:t>
            </w:r>
            <w:r w:rsidR="00C15E4E" w:rsidRPr="00676AED">
              <w:rPr>
                <w:rFonts w:ascii="Calibri" w:hAnsi="Calibri"/>
              </w:rPr>
              <w:br/>
              <w:t>2) June 2014 less than 50% of CBF inflows to NPATF matched by local revenue</w:t>
            </w:r>
          </w:p>
        </w:tc>
      </w:tr>
      <w:tr w:rsidR="00340FD8" w:rsidRPr="00340FD8" w:rsidTr="00340FD8">
        <w:trPr>
          <w:trHeight w:val="60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 amount by specified date, funds are transferred to the NPATF</w:t>
            </w:r>
          </w:p>
        </w:tc>
        <w:tc>
          <w:tcPr>
            <w:tcW w:w="1350" w:type="dxa"/>
            <w:hideMark/>
          </w:tcPr>
          <w:p w:rsidR="00340FD8" w:rsidRPr="00340FD8" w:rsidRDefault="00340FD8" w:rsidP="00340FD8">
            <w:pPr>
              <w:rPr>
                <w:rFonts w:ascii="Calibri" w:hAnsi="Calibri"/>
              </w:rPr>
            </w:pPr>
            <w:r w:rsidRPr="00340FD8">
              <w:rPr>
                <w:rFonts w:ascii="Calibri" w:hAnsi="Calibri"/>
              </w:rPr>
              <w:t xml:space="preserve">Annual reports and audits, NPATF </w:t>
            </w:r>
          </w:p>
        </w:tc>
        <w:tc>
          <w:tcPr>
            <w:tcW w:w="1380" w:type="dxa"/>
            <w:hideMark/>
          </w:tcPr>
          <w:p w:rsidR="00340FD8" w:rsidRPr="00340FD8" w:rsidRDefault="002B3B40" w:rsidP="00340FD8">
            <w:pPr>
              <w:rPr>
                <w:rFonts w:ascii="Calibri" w:hAnsi="Calibri"/>
              </w:rPr>
            </w:pPr>
            <w:r>
              <w:rPr>
                <w:rFonts w:ascii="Calibri" w:hAnsi="Calibri"/>
              </w:rPr>
              <w:t>Annually</w:t>
            </w:r>
          </w:p>
        </w:tc>
        <w:tc>
          <w:tcPr>
            <w:tcW w:w="1500" w:type="dxa"/>
            <w:noWrap/>
            <w:hideMark/>
          </w:tcPr>
          <w:p w:rsidR="00340FD8" w:rsidRPr="00340FD8" w:rsidRDefault="00340FD8" w:rsidP="00340FD8">
            <w:pPr>
              <w:rPr>
                <w:rFonts w:ascii="Calibri" w:hAnsi="Calibri"/>
              </w:rPr>
            </w:pPr>
            <w:r w:rsidRPr="00340FD8">
              <w:rPr>
                <w:rFonts w:ascii="Calibri" w:hAnsi="Calibri"/>
              </w:rPr>
              <w:t> </w:t>
            </w:r>
            <w:r w:rsidR="002B3B40">
              <w:rPr>
                <w:rFonts w:ascii="Calibri" w:hAnsi="Calibri"/>
              </w:rPr>
              <w:t>Same as above</w:t>
            </w:r>
          </w:p>
        </w:tc>
        <w:tc>
          <w:tcPr>
            <w:tcW w:w="1998" w:type="dxa"/>
            <w:noWrap/>
            <w:hideMark/>
          </w:tcPr>
          <w:p w:rsidR="00340FD8" w:rsidRPr="00340FD8" w:rsidRDefault="00340FD8" w:rsidP="00340FD8">
            <w:pPr>
              <w:rPr>
                <w:rFonts w:ascii="Calibri" w:hAnsi="Calibri"/>
              </w:rPr>
            </w:pPr>
            <w:r w:rsidRPr="00340FD8">
              <w:rPr>
                <w:rFonts w:ascii="Calibri" w:hAnsi="Calibri"/>
              </w:rPr>
              <w:t> </w:t>
            </w:r>
          </w:p>
        </w:tc>
      </w:tr>
      <w:tr w:rsidR="00340FD8" w:rsidRPr="00340FD8" w:rsidTr="00340FD8">
        <w:trPr>
          <w:trHeight w:val="1200"/>
        </w:trPr>
        <w:tc>
          <w:tcPr>
            <w:tcW w:w="3258" w:type="dxa"/>
            <w:hideMark/>
          </w:tcPr>
          <w:p w:rsidR="00340FD8" w:rsidRPr="00340FD8" w:rsidRDefault="00340FD8" w:rsidP="00340FD8">
            <w:pPr>
              <w:rPr>
                <w:rFonts w:ascii="Calibri" w:hAnsi="Calibri"/>
              </w:rPr>
            </w:pPr>
            <w:r w:rsidRPr="00340FD8">
              <w:rPr>
                <w:rFonts w:ascii="Calibri" w:hAnsi="Calibri"/>
              </w:rPr>
              <w:t xml:space="preserve"> By 2020  50% (approx $700,000 per year*) of annual funding gap for conservation in Protected Areas closed in at least  4 countries</w:t>
            </w:r>
          </w:p>
        </w:tc>
        <w:tc>
          <w:tcPr>
            <w:tcW w:w="3690" w:type="dxa"/>
            <w:hideMark/>
          </w:tcPr>
          <w:p w:rsidR="00340FD8" w:rsidRPr="00340FD8" w:rsidRDefault="00340FD8" w:rsidP="00340FD8">
            <w:pPr>
              <w:rPr>
                <w:rFonts w:ascii="Calibri" w:hAnsi="Calibri"/>
              </w:rPr>
            </w:pPr>
            <w:r w:rsidRPr="00340FD8">
              <w:rPr>
                <w:rFonts w:ascii="Calibri" w:hAnsi="Calibri"/>
              </w:rPr>
              <w:t>$ amount by specified date, funds are transferred to the NPATF</w:t>
            </w:r>
          </w:p>
        </w:tc>
        <w:tc>
          <w:tcPr>
            <w:tcW w:w="1350" w:type="dxa"/>
            <w:hideMark/>
          </w:tcPr>
          <w:p w:rsidR="00340FD8" w:rsidRPr="00340FD8" w:rsidRDefault="00340FD8" w:rsidP="00340FD8">
            <w:pPr>
              <w:rPr>
                <w:rFonts w:ascii="Calibri" w:hAnsi="Calibri"/>
              </w:rPr>
            </w:pPr>
            <w:r w:rsidRPr="00340FD8">
              <w:rPr>
                <w:rFonts w:ascii="Calibri" w:hAnsi="Calibri"/>
              </w:rPr>
              <w:t xml:space="preserve">Annual reports and audits, NPATF </w:t>
            </w:r>
          </w:p>
        </w:tc>
        <w:tc>
          <w:tcPr>
            <w:tcW w:w="1380" w:type="dxa"/>
            <w:hideMark/>
          </w:tcPr>
          <w:p w:rsidR="00340FD8" w:rsidRPr="00340FD8" w:rsidRDefault="00340FD8" w:rsidP="00340FD8">
            <w:pPr>
              <w:rPr>
                <w:rFonts w:ascii="Calibri" w:hAnsi="Calibri"/>
              </w:rPr>
            </w:pPr>
            <w:r w:rsidRPr="00340FD8">
              <w:rPr>
                <w:rFonts w:ascii="Calibri" w:hAnsi="Calibri"/>
              </w:rPr>
              <w:t> </w:t>
            </w:r>
            <w:r w:rsidR="002B3B40">
              <w:rPr>
                <w:rFonts w:ascii="Calibri" w:hAnsi="Calibri"/>
              </w:rPr>
              <w:t>Annually</w:t>
            </w:r>
          </w:p>
        </w:tc>
        <w:tc>
          <w:tcPr>
            <w:tcW w:w="1500" w:type="dxa"/>
            <w:noWrap/>
            <w:hideMark/>
          </w:tcPr>
          <w:p w:rsidR="00340FD8" w:rsidRPr="00340FD8" w:rsidRDefault="00340FD8" w:rsidP="00340FD8">
            <w:pPr>
              <w:rPr>
                <w:rFonts w:ascii="Calibri" w:hAnsi="Calibri"/>
              </w:rPr>
            </w:pPr>
            <w:r w:rsidRPr="00340FD8">
              <w:rPr>
                <w:rFonts w:ascii="Calibri" w:hAnsi="Calibri"/>
              </w:rPr>
              <w:t> </w:t>
            </w:r>
            <w:r w:rsidR="002B3B40">
              <w:rPr>
                <w:rFonts w:ascii="Calibri" w:hAnsi="Calibri"/>
              </w:rPr>
              <w:t>Same as above</w:t>
            </w:r>
          </w:p>
        </w:tc>
        <w:tc>
          <w:tcPr>
            <w:tcW w:w="1998" w:type="dxa"/>
            <w:noWrap/>
            <w:hideMark/>
          </w:tcPr>
          <w:p w:rsidR="00340FD8" w:rsidRPr="00340FD8" w:rsidRDefault="00340FD8" w:rsidP="00340FD8">
            <w:pPr>
              <w:rPr>
                <w:rFonts w:ascii="Calibri" w:hAnsi="Calibri"/>
              </w:rPr>
            </w:pPr>
            <w:r w:rsidRPr="00340FD8">
              <w:rPr>
                <w:rFonts w:ascii="Calibri" w:hAnsi="Calibri"/>
              </w:rPr>
              <w:t> </w:t>
            </w:r>
          </w:p>
        </w:tc>
      </w:tr>
      <w:tr w:rsidR="00340FD8" w:rsidRPr="00340FD8" w:rsidTr="00340FD8">
        <w:trPr>
          <w:trHeight w:val="1155"/>
        </w:trPr>
        <w:tc>
          <w:tcPr>
            <w:tcW w:w="3258" w:type="dxa"/>
            <w:hideMark/>
          </w:tcPr>
          <w:p w:rsidR="00340FD8" w:rsidRPr="00340FD8" w:rsidRDefault="00340FD8" w:rsidP="00340FD8">
            <w:pPr>
              <w:rPr>
                <w:rFonts w:ascii="Calibri" w:hAnsi="Calibri"/>
              </w:rPr>
            </w:pPr>
            <w:r w:rsidRPr="00340FD8">
              <w:rPr>
                <w:rFonts w:ascii="Calibri" w:hAnsi="Calibri"/>
              </w:rPr>
              <w:t>National commitments for GEF co-financing met by all countries by 2014</w:t>
            </w:r>
          </w:p>
        </w:tc>
        <w:tc>
          <w:tcPr>
            <w:tcW w:w="3690" w:type="dxa"/>
            <w:hideMark/>
          </w:tcPr>
          <w:p w:rsidR="00340FD8" w:rsidRPr="00340FD8" w:rsidRDefault="00340FD8" w:rsidP="00340FD8">
            <w:pPr>
              <w:rPr>
                <w:rFonts w:ascii="Calibri" w:hAnsi="Calibri"/>
              </w:rPr>
            </w:pPr>
            <w:r w:rsidRPr="00340FD8">
              <w:rPr>
                <w:rFonts w:ascii="Calibri" w:hAnsi="Calibri"/>
              </w:rPr>
              <w:t xml:space="preserve">Annual reports for project indicate flow of funds and resources to project from </w:t>
            </w:r>
            <w:r w:rsidR="00F11F4B" w:rsidRPr="00340FD8">
              <w:rPr>
                <w:rFonts w:ascii="Calibri" w:hAnsi="Calibri"/>
              </w:rPr>
              <w:t xml:space="preserve">countries. </w:t>
            </w:r>
          </w:p>
        </w:tc>
        <w:tc>
          <w:tcPr>
            <w:tcW w:w="1350" w:type="dxa"/>
            <w:hideMark/>
          </w:tcPr>
          <w:p w:rsidR="00340FD8" w:rsidRPr="00340FD8" w:rsidRDefault="00340FD8" w:rsidP="00340FD8">
            <w:pPr>
              <w:rPr>
                <w:rFonts w:ascii="Calibri" w:hAnsi="Calibri"/>
              </w:rPr>
            </w:pPr>
            <w:r w:rsidRPr="00340FD8">
              <w:rPr>
                <w:rFonts w:ascii="Calibri" w:hAnsi="Calibri"/>
              </w:rPr>
              <w:t>Country Focal Points, TNC</w:t>
            </w:r>
          </w:p>
        </w:tc>
        <w:tc>
          <w:tcPr>
            <w:tcW w:w="1380" w:type="dxa"/>
            <w:hideMark/>
          </w:tcPr>
          <w:p w:rsidR="00340FD8" w:rsidRPr="00340FD8" w:rsidRDefault="00340FD8" w:rsidP="00340FD8">
            <w:pPr>
              <w:rPr>
                <w:rFonts w:ascii="Calibri" w:hAnsi="Calibri"/>
              </w:rPr>
            </w:pPr>
            <w:r w:rsidRPr="00340FD8">
              <w:rPr>
                <w:rFonts w:ascii="Calibri" w:hAnsi="Calibri"/>
              </w:rPr>
              <w:t> </w:t>
            </w:r>
            <w:r w:rsidR="002B3B40">
              <w:rPr>
                <w:rFonts w:ascii="Calibri" w:hAnsi="Calibri"/>
              </w:rPr>
              <w:t>Annually</w:t>
            </w:r>
          </w:p>
        </w:tc>
        <w:tc>
          <w:tcPr>
            <w:tcW w:w="1500" w:type="dxa"/>
            <w:noWrap/>
            <w:hideMark/>
          </w:tcPr>
          <w:p w:rsidR="00340FD8" w:rsidRPr="00340FD8" w:rsidRDefault="00340FD8" w:rsidP="00340FD8">
            <w:pPr>
              <w:rPr>
                <w:rFonts w:ascii="Calibri" w:hAnsi="Calibri"/>
              </w:rPr>
            </w:pPr>
            <w:r w:rsidRPr="00340FD8">
              <w:rPr>
                <w:rFonts w:ascii="Calibri" w:hAnsi="Calibri"/>
              </w:rPr>
              <w:t> </w:t>
            </w:r>
          </w:p>
        </w:tc>
        <w:tc>
          <w:tcPr>
            <w:tcW w:w="1998" w:type="dxa"/>
            <w:noWrap/>
            <w:hideMark/>
          </w:tcPr>
          <w:p w:rsidR="00340FD8" w:rsidRPr="00340FD8" w:rsidRDefault="00340FD8" w:rsidP="00340FD8">
            <w:pPr>
              <w:rPr>
                <w:rFonts w:ascii="Calibri" w:hAnsi="Calibri"/>
              </w:rPr>
            </w:pPr>
            <w:r w:rsidRPr="00340FD8">
              <w:rPr>
                <w:rFonts w:ascii="Calibri" w:hAnsi="Calibri"/>
              </w:rPr>
              <w:t> </w:t>
            </w:r>
          </w:p>
        </w:tc>
      </w:tr>
      <w:tr w:rsidR="00340FD8" w:rsidRPr="00340FD8" w:rsidTr="00340FD8">
        <w:trPr>
          <w:trHeight w:val="575"/>
        </w:trPr>
        <w:tc>
          <w:tcPr>
            <w:tcW w:w="13176" w:type="dxa"/>
            <w:gridSpan w:val="6"/>
            <w:hideMark/>
          </w:tcPr>
          <w:p w:rsidR="00340FD8" w:rsidRPr="00340FD8" w:rsidRDefault="00340FD8" w:rsidP="00340FD8">
            <w:pPr>
              <w:rPr>
                <w:rFonts w:ascii="Calibri" w:hAnsi="Calibri"/>
                <w:b/>
              </w:rPr>
            </w:pPr>
            <w:r w:rsidRPr="00340FD8">
              <w:rPr>
                <w:rFonts w:ascii="Calibri" w:hAnsi="Calibri"/>
                <w:b/>
              </w:rPr>
              <w:t xml:space="preserve">National Strategy Marine Protected Areas: Increase management </w:t>
            </w:r>
            <w:r w:rsidR="00861771">
              <w:rPr>
                <w:rFonts w:ascii="Calibri" w:hAnsi="Calibri"/>
                <w:b/>
              </w:rPr>
              <w:t xml:space="preserve">effectiveness </w:t>
            </w:r>
            <w:r w:rsidRPr="00340FD8">
              <w:rPr>
                <w:rFonts w:ascii="Calibri" w:hAnsi="Calibri"/>
                <w:b/>
              </w:rPr>
              <w:t>and Caribbean Protected Area</w:t>
            </w:r>
            <w:r w:rsidR="00861771">
              <w:rPr>
                <w:rFonts w:ascii="Calibri" w:hAnsi="Calibri"/>
                <w:b/>
              </w:rPr>
              <w:t xml:space="preserve"> coverage </w:t>
            </w:r>
            <w:r w:rsidRPr="00340FD8">
              <w:rPr>
                <w:rFonts w:ascii="Calibri" w:hAnsi="Calibri"/>
                <w:b/>
              </w:rPr>
              <w:t xml:space="preserve">to include at least 20 percent of nearshore </w:t>
            </w:r>
            <w:r w:rsidR="00861771">
              <w:rPr>
                <w:b/>
              </w:rPr>
              <w:t>and marine shelf habitats</w:t>
            </w:r>
            <w:r w:rsidRPr="00340FD8">
              <w:rPr>
                <w:rFonts w:ascii="Calibri" w:hAnsi="Calibri"/>
                <w:b/>
              </w:rPr>
              <w:t>.</w:t>
            </w:r>
          </w:p>
        </w:tc>
      </w:tr>
      <w:tr w:rsidR="00340FD8" w:rsidRPr="00340FD8" w:rsidTr="00340FD8">
        <w:trPr>
          <w:trHeight w:val="1170"/>
        </w:trPr>
        <w:tc>
          <w:tcPr>
            <w:tcW w:w="3258" w:type="dxa"/>
            <w:vMerge w:val="restart"/>
            <w:hideMark/>
          </w:tcPr>
          <w:p w:rsidR="00340FD8" w:rsidRPr="00340FD8" w:rsidRDefault="00340FD8" w:rsidP="00340FD8">
            <w:pPr>
              <w:rPr>
                <w:rFonts w:ascii="Calibri" w:hAnsi="Calibri"/>
              </w:rPr>
            </w:pPr>
            <w:r w:rsidRPr="00340FD8">
              <w:rPr>
                <w:rFonts w:ascii="Calibri" w:hAnsi="Calibri"/>
              </w:rPr>
              <w:lastRenderedPageBreak/>
              <w:t>2015 (10%), 2020 (20%) of coastal and nearshore habitat to the 200m bathymetric line is under legal protection.</w:t>
            </w:r>
          </w:p>
        </w:tc>
        <w:tc>
          <w:tcPr>
            <w:tcW w:w="3690" w:type="dxa"/>
            <w:hideMark/>
          </w:tcPr>
          <w:p w:rsidR="00340FD8" w:rsidRPr="00340FD8" w:rsidRDefault="00F11F4B" w:rsidP="00340FD8">
            <w:pPr>
              <w:rPr>
                <w:rFonts w:ascii="Calibri" w:hAnsi="Calibri"/>
              </w:rPr>
            </w:pPr>
            <w:r w:rsidRPr="00340FD8">
              <w:rPr>
                <w:rFonts w:ascii="Calibri" w:hAnsi="Calibri"/>
              </w:rPr>
              <w:t>Boundaries mapped and PA</w:t>
            </w:r>
            <w:r>
              <w:rPr>
                <w:rFonts w:ascii="Calibri" w:hAnsi="Calibri"/>
              </w:rPr>
              <w:t>s</w:t>
            </w:r>
            <w:r w:rsidRPr="00340FD8">
              <w:rPr>
                <w:rFonts w:ascii="Calibri" w:hAnsi="Calibri"/>
              </w:rPr>
              <w:t xml:space="preserve"> gazetted</w:t>
            </w:r>
          </w:p>
        </w:tc>
        <w:tc>
          <w:tcPr>
            <w:tcW w:w="1350" w:type="dxa"/>
            <w:hideMark/>
          </w:tcPr>
          <w:p w:rsidR="00340FD8" w:rsidRPr="00340FD8" w:rsidRDefault="00340FD8" w:rsidP="00340FD8">
            <w:pPr>
              <w:rPr>
                <w:rFonts w:ascii="Calibri" w:hAnsi="Calibri"/>
              </w:rPr>
            </w:pPr>
            <w:r w:rsidRPr="00340FD8">
              <w:rPr>
                <w:rFonts w:ascii="Calibri" w:hAnsi="Calibri"/>
              </w:rPr>
              <w:t>John Knowles/ PA authority in each country</w:t>
            </w:r>
          </w:p>
        </w:tc>
        <w:tc>
          <w:tcPr>
            <w:tcW w:w="1380" w:type="dxa"/>
            <w:hideMark/>
          </w:tcPr>
          <w:p w:rsidR="00340FD8" w:rsidRPr="00340FD8" w:rsidRDefault="00340FD8" w:rsidP="00340FD8">
            <w:pPr>
              <w:rPr>
                <w:rFonts w:ascii="Calibri" w:hAnsi="Calibri"/>
              </w:rPr>
            </w:pPr>
            <w:r w:rsidRPr="00340FD8">
              <w:rPr>
                <w:rFonts w:ascii="Calibri" w:hAnsi="Calibri"/>
              </w:rPr>
              <w:t>Annual</w:t>
            </w:r>
          </w:p>
        </w:tc>
        <w:tc>
          <w:tcPr>
            <w:tcW w:w="1500" w:type="dxa"/>
            <w:hideMark/>
          </w:tcPr>
          <w:p w:rsidR="00340FD8" w:rsidRPr="00340FD8" w:rsidRDefault="00340FD8" w:rsidP="00340FD8">
            <w:pPr>
              <w:rPr>
                <w:rFonts w:ascii="Calibri" w:hAnsi="Calibri"/>
              </w:rPr>
            </w:pPr>
            <w:r w:rsidRPr="00340FD8">
              <w:rPr>
                <w:rFonts w:ascii="Calibri" w:hAnsi="Calibri"/>
              </w:rPr>
              <w:t xml:space="preserve">General Public, Nat'l implementing agencies for GEF FSP, donors, </w:t>
            </w:r>
            <w:r w:rsidR="00E505B5">
              <w:rPr>
                <w:rFonts w:ascii="Calibri" w:hAnsi="Calibri"/>
              </w:rPr>
              <w:t xml:space="preserve">NISP, </w:t>
            </w:r>
            <w:r w:rsidRPr="00340FD8">
              <w:rPr>
                <w:rFonts w:ascii="Calibri" w:hAnsi="Calibri"/>
              </w:rPr>
              <w:t xml:space="preserve">NPATF and CBF Boards, </w:t>
            </w:r>
            <w:r w:rsidR="00F9702A">
              <w:rPr>
                <w:rFonts w:ascii="Calibri" w:hAnsi="Calibri"/>
              </w:rPr>
              <w:t xml:space="preserve">Caribbean Challenge Initiative </w:t>
            </w:r>
            <w:r w:rsidRPr="00340FD8">
              <w:rPr>
                <w:rFonts w:ascii="Calibri" w:hAnsi="Calibri"/>
              </w:rPr>
              <w:t>countries</w:t>
            </w:r>
          </w:p>
        </w:tc>
        <w:tc>
          <w:tcPr>
            <w:tcW w:w="1998" w:type="dxa"/>
            <w:hideMark/>
          </w:tcPr>
          <w:p w:rsidR="00340FD8" w:rsidRPr="00340FD8" w:rsidRDefault="00340FD8" w:rsidP="00340FD8">
            <w:pPr>
              <w:rPr>
                <w:rFonts w:ascii="Calibri" w:hAnsi="Calibri"/>
              </w:rPr>
            </w:pPr>
            <w:r w:rsidRPr="00340FD8">
              <w:rPr>
                <w:rFonts w:ascii="Calibri" w:hAnsi="Calibri"/>
              </w:rPr>
              <w:t>For each country &lt;10% protected by June 2014?</w:t>
            </w:r>
          </w:p>
        </w:tc>
      </w:tr>
      <w:tr w:rsidR="00340FD8" w:rsidRPr="00340FD8" w:rsidTr="00340FD8">
        <w:trPr>
          <w:trHeight w:val="60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Number of Hectares under protected status</w:t>
            </w:r>
          </w:p>
        </w:tc>
        <w:tc>
          <w:tcPr>
            <w:tcW w:w="1350" w:type="dxa"/>
            <w:hideMark/>
          </w:tcPr>
          <w:p w:rsidR="00340FD8" w:rsidRPr="00340FD8" w:rsidRDefault="00340FD8" w:rsidP="00340FD8">
            <w:pPr>
              <w:rPr>
                <w:rFonts w:ascii="Calibri" w:hAnsi="Calibri"/>
              </w:rPr>
            </w:pPr>
            <w:r w:rsidRPr="00340FD8">
              <w:rPr>
                <w:rFonts w:ascii="Calibri" w:hAnsi="Calibri"/>
              </w:rPr>
              <w:t>TNC GIS</w:t>
            </w:r>
          </w:p>
        </w:tc>
        <w:tc>
          <w:tcPr>
            <w:tcW w:w="1380" w:type="dxa"/>
            <w:hideMark/>
          </w:tcPr>
          <w:p w:rsidR="00340FD8" w:rsidRPr="00340FD8" w:rsidRDefault="00340FD8" w:rsidP="00340FD8">
            <w:pPr>
              <w:rPr>
                <w:rFonts w:ascii="Calibri" w:hAnsi="Calibri"/>
              </w:rPr>
            </w:pPr>
            <w:r w:rsidRPr="00340FD8">
              <w:rPr>
                <w:rFonts w:ascii="Calibri" w:hAnsi="Calibri"/>
              </w:rPr>
              <w:t> </w:t>
            </w:r>
          </w:p>
        </w:tc>
        <w:tc>
          <w:tcPr>
            <w:tcW w:w="1500" w:type="dxa"/>
            <w:noWrap/>
            <w:hideMark/>
          </w:tcPr>
          <w:p w:rsidR="00340FD8" w:rsidRPr="00340FD8" w:rsidRDefault="00340FD8" w:rsidP="00340FD8">
            <w:pPr>
              <w:rPr>
                <w:rFonts w:ascii="Calibri" w:hAnsi="Calibri"/>
              </w:rPr>
            </w:pPr>
            <w:r w:rsidRPr="00340FD8">
              <w:rPr>
                <w:rFonts w:ascii="Calibri" w:hAnsi="Calibri"/>
              </w:rPr>
              <w:t> </w:t>
            </w:r>
          </w:p>
        </w:tc>
        <w:tc>
          <w:tcPr>
            <w:tcW w:w="1998" w:type="dxa"/>
            <w:noWrap/>
            <w:hideMark/>
          </w:tcPr>
          <w:p w:rsidR="00340FD8" w:rsidRPr="00340FD8" w:rsidRDefault="00340FD8" w:rsidP="00340FD8">
            <w:pPr>
              <w:rPr>
                <w:rFonts w:ascii="Calibri" w:hAnsi="Calibri"/>
              </w:rPr>
            </w:pPr>
            <w:r w:rsidRPr="00340FD8">
              <w:rPr>
                <w:rFonts w:ascii="Calibri" w:hAnsi="Calibri"/>
              </w:rPr>
              <w:t> </w:t>
            </w:r>
          </w:p>
        </w:tc>
      </w:tr>
      <w:tr w:rsidR="00340FD8" w:rsidRPr="00340FD8" w:rsidTr="00340FD8">
        <w:trPr>
          <w:trHeight w:val="1500"/>
        </w:trPr>
        <w:tc>
          <w:tcPr>
            <w:tcW w:w="3258" w:type="dxa"/>
            <w:vMerge w:val="restart"/>
            <w:hideMark/>
          </w:tcPr>
          <w:p w:rsidR="00340FD8" w:rsidRPr="00340FD8" w:rsidRDefault="00340FD8" w:rsidP="00340FD8">
            <w:pPr>
              <w:rPr>
                <w:rFonts w:ascii="Calibri" w:hAnsi="Calibri"/>
              </w:rPr>
            </w:pPr>
            <w:r w:rsidRPr="00340FD8">
              <w:rPr>
                <w:rFonts w:ascii="Calibri" w:hAnsi="Calibri"/>
              </w:rPr>
              <w:t>To be refined: By 2013 at least 2, and by 2015 at least 4, Governments are aligning their resources(beyond NPATF commitment) to implement key strategic actions (e.g. technical, policy, and institutional priorities) from the master plan</w:t>
            </w:r>
          </w:p>
        </w:tc>
        <w:tc>
          <w:tcPr>
            <w:tcW w:w="3690" w:type="dxa"/>
            <w:hideMark/>
          </w:tcPr>
          <w:p w:rsidR="00340FD8" w:rsidRPr="00340FD8" w:rsidRDefault="00340FD8" w:rsidP="00340FD8">
            <w:pPr>
              <w:rPr>
                <w:rFonts w:ascii="Calibri" w:hAnsi="Calibri"/>
              </w:rPr>
            </w:pPr>
            <w:r w:rsidRPr="00340FD8">
              <w:rPr>
                <w:rFonts w:ascii="Calibri" w:hAnsi="Calibri"/>
              </w:rPr>
              <w:t xml:space="preserve">Key protected area strategies in MP that increase spatial extent and management </w:t>
            </w:r>
            <w:r w:rsidR="00861771">
              <w:rPr>
                <w:rFonts w:ascii="Calibri" w:hAnsi="Calibri"/>
              </w:rPr>
              <w:t xml:space="preserve">effectiveness </w:t>
            </w:r>
            <w:r w:rsidRPr="00340FD8">
              <w:rPr>
                <w:rFonts w:ascii="Calibri" w:hAnsi="Calibri"/>
              </w:rPr>
              <w:t>of MPA system implementation are implemented through government agency annual work plans</w:t>
            </w:r>
          </w:p>
        </w:tc>
        <w:tc>
          <w:tcPr>
            <w:tcW w:w="1350" w:type="dxa"/>
            <w:hideMark/>
          </w:tcPr>
          <w:p w:rsidR="00340FD8" w:rsidRPr="00340FD8" w:rsidRDefault="00340FD8" w:rsidP="00340FD8">
            <w:pPr>
              <w:rPr>
                <w:rFonts w:ascii="Calibri" w:hAnsi="Calibri"/>
              </w:rPr>
            </w:pPr>
            <w:r w:rsidRPr="00340FD8">
              <w:rPr>
                <w:rFonts w:ascii="Calibri" w:hAnsi="Calibri"/>
              </w:rPr>
              <w:t>Government PA Agencies</w:t>
            </w:r>
          </w:p>
        </w:tc>
        <w:tc>
          <w:tcPr>
            <w:tcW w:w="1380" w:type="dxa"/>
            <w:hideMark/>
          </w:tcPr>
          <w:p w:rsidR="00340FD8" w:rsidRPr="00340FD8" w:rsidRDefault="00340FD8" w:rsidP="00340FD8">
            <w:pPr>
              <w:rPr>
                <w:rFonts w:ascii="Calibri" w:hAnsi="Calibri"/>
              </w:rPr>
            </w:pPr>
            <w:r w:rsidRPr="00340FD8">
              <w:rPr>
                <w:rFonts w:ascii="Calibri" w:hAnsi="Calibri"/>
              </w:rPr>
              <w:t>Annual: End of fiscal year</w:t>
            </w:r>
          </w:p>
        </w:tc>
        <w:tc>
          <w:tcPr>
            <w:tcW w:w="1500" w:type="dxa"/>
            <w:noWrap/>
            <w:hideMark/>
          </w:tcPr>
          <w:p w:rsidR="00340FD8" w:rsidRPr="00340FD8" w:rsidRDefault="00340FD8" w:rsidP="00340FD8">
            <w:pPr>
              <w:rPr>
                <w:rFonts w:ascii="Calibri" w:hAnsi="Calibri"/>
              </w:rPr>
            </w:pPr>
            <w:r w:rsidRPr="00340FD8">
              <w:rPr>
                <w:rFonts w:ascii="Calibri" w:hAnsi="Calibri"/>
              </w:rPr>
              <w:t> </w:t>
            </w:r>
            <w:r w:rsidR="00E505B5">
              <w:rPr>
                <w:rFonts w:ascii="Calibri" w:hAnsi="Calibri"/>
              </w:rPr>
              <w:t>Same as above</w:t>
            </w:r>
          </w:p>
        </w:tc>
        <w:tc>
          <w:tcPr>
            <w:tcW w:w="1998" w:type="dxa"/>
            <w:noWrap/>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By 2013 annual work plans do not include strategies for PA management and expansion</w:t>
            </w:r>
          </w:p>
        </w:tc>
      </w:tr>
      <w:tr w:rsidR="00340FD8" w:rsidRPr="00340FD8" w:rsidTr="00340FD8">
        <w:trPr>
          <w:trHeight w:val="60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New staff and resources are assigned to protected areas</w:t>
            </w:r>
          </w:p>
        </w:tc>
        <w:tc>
          <w:tcPr>
            <w:tcW w:w="1350" w:type="dxa"/>
            <w:hideMark/>
          </w:tcPr>
          <w:p w:rsidR="00340FD8" w:rsidRPr="00340FD8" w:rsidRDefault="00340FD8" w:rsidP="00340FD8">
            <w:pPr>
              <w:rPr>
                <w:rFonts w:ascii="Calibri" w:hAnsi="Calibri"/>
              </w:rPr>
            </w:pPr>
            <w:r w:rsidRPr="00340FD8">
              <w:rPr>
                <w:rFonts w:ascii="Calibri" w:hAnsi="Calibri"/>
              </w:rPr>
              <w:t>Government PA Agencies</w:t>
            </w:r>
          </w:p>
        </w:tc>
        <w:tc>
          <w:tcPr>
            <w:tcW w:w="1380" w:type="dxa"/>
            <w:hideMark/>
          </w:tcPr>
          <w:p w:rsidR="00340FD8" w:rsidRPr="00340FD8" w:rsidRDefault="00340FD8" w:rsidP="00340FD8">
            <w:pPr>
              <w:rPr>
                <w:rFonts w:ascii="Calibri" w:hAnsi="Calibri"/>
              </w:rPr>
            </w:pPr>
            <w:r w:rsidRPr="00340FD8">
              <w:rPr>
                <w:rFonts w:ascii="Calibri" w:hAnsi="Calibri"/>
              </w:rPr>
              <w:t> </w:t>
            </w:r>
            <w:r w:rsidR="00E505B5">
              <w:rPr>
                <w:rFonts w:ascii="Calibri" w:hAnsi="Calibri"/>
              </w:rPr>
              <w:t>Annual: beginning of fiscal year</w:t>
            </w:r>
          </w:p>
        </w:tc>
        <w:tc>
          <w:tcPr>
            <w:tcW w:w="1500" w:type="dxa"/>
            <w:noWrap/>
            <w:hideMark/>
          </w:tcPr>
          <w:p w:rsidR="00340FD8" w:rsidRPr="00340FD8" w:rsidRDefault="00340FD8" w:rsidP="00340FD8">
            <w:pPr>
              <w:rPr>
                <w:rFonts w:ascii="Calibri" w:hAnsi="Calibri"/>
              </w:rPr>
            </w:pPr>
            <w:r w:rsidRPr="00340FD8">
              <w:rPr>
                <w:rFonts w:ascii="Calibri" w:hAnsi="Calibri"/>
              </w:rPr>
              <w:t> </w:t>
            </w:r>
          </w:p>
        </w:tc>
        <w:tc>
          <w:tcPr>
            <w:tcW w:w="1998" w:type="dxa"/>
            <w:noWrap/>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By 2013 no new staff or resources assigned</w:t>
            </w:r>
          </w:p>
        </w:tc>
      </w:tr>
      <w:tr w:rsidR="00340FD8" w:rsidRPr="00340FD8" w:rsidTr="00340FD8">
        <w:trPr>
          <w:trHeight w:val="1800"/>
        </w:trPr>
        <w:tc>
          <w:tcPr>
            <w:tcW w:w="3258" w:type="dxa"/>
            <w:hideMark/>
          </w:tcPr>
          <w:p w:rsidR="00340FD8" w:rsidRPr="00340FD8" w:rsidRDefault="00340FD8" w:rsidP="00340FD8">
            <w:pPr>
              <w:rPr>
                <w:rFonts w:ascii="Calibri" w:hAnsi="Calibri"/>
              </w:rPr>
            </w:pPr>
            <w:r w:rsidRPr="00340FD8">
              <w:rPr>
                <w:rFonts w:ascii="Calibri" w:hAnsi="Calibri"/>
              </w:rPr>
              <w:t>By 2013 functional government coordination mechanism (like NISP) between relevant stakeholders in place for large projects implemented under PA master plan, and GEF projects</w:t>
            </w:r>
          </w:p>
        </w:tc>
        <w:tc>
          <w:tcPr>
            <w:tcW w:w="3690" w:type="dxa"/>
            <w:hideMark/>
          </w:tcPr>
          <w:p w:rsidR="00340FD8" w:rsidRPr="00340FD8" w:rsidRDefault="00340FD8" w:rsidP="00340FD8">
            <w:pPr>
              <w:rPr>
                <w:rFonts w:ascii="Calibri" w:hAnsi="Calibri"/>
              </w:rPr>
            </w:pPr>
            <w:r w:rsidRPr="00340FD8">
              <w:rPr>
                <w:rFonts w:ascii="Calibri" w:hAnsi="Calibri"/>
              </w:rPr>
              <w:t>Implementation agreement for the GEF project for each country includes a NISP committee to oversee and coordinate CC activities</w:t>
            </w:r>
          </w:p>
        </w:tc>
        <w:tc>
          <w:tcPr>
            <w:tcW w:w="1350" w:type="dxa"/>
            <w:hideMark/>
          </w:tcPr>
          <w:p w:rsidR="00340FD8" w:rsidRPr="00340FD8" w:rsidRDefault="00340FD8" w:rsidP="00340FD8">
            <w:pPr>
              <w:rPr>
                <w:rFonts w:ascii="Calibri" w:hAnsi="Calibri"/>
              </w:rPr>
            </w:pPr>
            <w:r w:rsidRPr="00340FD8">
              <w:rPr>
                <w:rFonts w:ascii="Calibri" w:hAnsi="Calibri"/>
              </w:rPr>
              <w:t>TNC country rep, GEF focal point agency</w:t>
            </w:r>
          </w:p>
        </w:tc>
        <w:tc>
          <w:tcPr>
            <w:tcW w:w="1380" w:type="dxa"/>
            <w:hideMark/>
          </w:tcPr>
          <w:p w:rsidR="00340FD8" w:rsidRPr="00340FD8" w:rsidRDefault="00340FD8" w:rsidP="00340FD8">
            <w:pPr>
              <w:rPr>
                <w:rFonts w:ascii="Calibri" w:hAnsi="Calibri"/>
              </w:rPr>
            </w:pPr>
            <w:r w:rsidRPr="00340FD8">
              <w:rPr>
                <w:rFonts w:ascii="Calibri" w:hAnsi="Calibri"/>
              </w:rPr>
              <w:t> </w:t>
            </w:r>
            <w:r w:rsidR="00E505B5">
              <w:rPr>
                <w:rFonts w:ascii="Calibri" w:hAnsi="Calibri"/>
              </w:rPr>
              <w:t>Annual</w:t>
            </w:r>
          </w:p>
        </w:tc>
        <w:tc>
          <w:tcPr>
            <w:tcW w:w="1500" w:type="dxa"/>
            <w:noWrap/>
            <w:hideMark/>
          </w:tcPr>
          <w:p w:rsidR="00340FD8" w:rsidRPr="00340FD8" w:rsidRDefault="00340FD8" w:rsidP="00340FD8">
            <w:pPr>
              <w:rPr>
                <w:rFonts w:ascii="Calibri" w:hAnsi="Calibri"/>
              </w:rPr>
            </w:pPr>
            <w:r w:rsidRPr="00340FD8">
              <w:rPr>
                <w:rFonts w:ascii="Calibri" w:hAnsi="Calibri"/>
              </w:rPr>
              <w:t> </w:t>
            </w:r>
            <w:r w:rsidR="00053341" w:rsidRPr="00340FD8">
              <w:rPr>
                <w:rFonts w:ascii="Calibri" w:hAnsi="Calibri"/>
              </w:rPr>
              <w:t xml:space="preserve">Nat'l implementing agencies for GEF FSP, donors, </w:t>
            </w:r>
            <w:r w:rsidR="00053341">
              <w:rPr>
                <w:rFonts w:ascii="Calibri" w:hAnsi="Calibri"/>
              </w:rPr>
              <w:t xml:space="preserve">NISP, </w:t>
            </w:r>
            <w:r w:rsidR="00053341" w:rsidRPr="00340FD8">
              <w:rPr>
                <w:rFonts w:ascii="Calibri" w:hAnsi="Calibri"/>
              </w:rPr>
              <w:t xml:space="preserve">NPATF and CBF Boards, Caribbean Challenge </w:t>
            </w:r>
            <w:r w:rsidR="00053341" w:rsidRPr="00340FD8">
              <w:rPr>
                <w:rFonts w:ascii="Calibri" w:hAnsi="Calibri"/>
              </w:rPr>
              <w:lastRenderedPageBreak/>
              <w:t>countries</w:t>
            </w:r>
          </w:p>
        </w:tc>
        <w:tc>
          <w:tcPr>
            <w:tcW w:w="1998" w:type="dxa"/>
            <w:noWrap/>
            <w:hideMark/>
          </w:tcPr>
          <w:p w:rsidR="00340FD8" w:rsidRPr="00340FD8" w:rsidRDefault="00340FD8" w:rsidP="00340FD8">
            <w:pPr>
              <w:rPr>
                <w:rFonts w:ascii="Calibri" w:hAnsi="Calibri"/>
              </w:rPr>
            </w:pPr>
            <w:r w:rsidRPr="00340FD8">
              <w:rPr>
                <w:rFonts w:ascii="Calibri" w:hAnsi="Calibri"/>
              </w:rPr>
              <w:lastRenderedPageBreak/>
              <w:t> </w:t>
            </w:r>
            <w:r w:rsidR="00053341">
              <w:rPr>
                <w:rFonts w:ascii="Calibri" w:hAnsi="Calibri"/>
              </w:rPr>
              <w:t>By end of 2012 no draft implementation agreement</w:t>
            </w:r>
          </w:p>
        </w:tc>
      </w:tr>
      <w:tr w:rsidR="00340FD8" w:rsidRPr="00340FD8" w:rsidTr="00340FD8">
        <w:trPr>
          <w:trHeight w:val="1800"/>
        </w:trPr>
        <w:tc>
          <w:tcPr>
            <w:tcW w:w="3258" w:type="dxa"/>
            <w:hideMark/>
          </w:tcPr>
          <w:p w:rsidR="00340FD8" w:rsidRPr="00340FD8" w:rsidRDefault="00F11F4B" w:rsidP="00340FD8">
            <w:pPr>
              <w:rPr>
                <w:rFonts w:ascii="Calibri" w:hAnsi="Calibri"/>
              </w:rPr>
            </w:pPr>
            <w:r w:rsidRPr="00340FD8">
              <w:rPr>
                <w:rFonts w:ascii="Calibri" w:hAnsi="Calibri"/>
              </w:rPr>
              <w:lastRenderedPageBreak/>
              <w:t>By 2012 a functional regional coordination mechanism (information sharing, technical activities) to ensure a resilient MPA network for the CC</w:t>
            </w:r>
            <w:r>
              <w:rPr>
                <w:rFonts w:ascii="Calibri" w:hAnsi="Calibri"/>
              </w:rPr>
              <w:t>I</w:t>
            </w:r>
            <w:r w:rsidRPr="00340FD8">
              <w:rPr>
                <w:rFonts w:ascii="Calibri" w:hAnsi="Calibri"/>
              </w:rPr>
              <w:t xml:space="preserve"> in Eastern Caribbean is in place. </w:t>
            </w:r>
          </w:p>
        </w:tc>
        <w:tc>
          <w:tcPr>
            <w:tcW w:w="3690" w:type="dxa"/>
            <w:hideMark/>
          </w:tcPr>
          <w:p w:rsidR="00340FD8" w:rsidRPr="00340FD8" w:rsidRDefault="00340FD8" w:rsidP="00340FD8">
            <w:pPr>
              <w:rPr>
                <w:rFonts w:ascii="Calibri" w:hAnsi="Calibri"/>
              </w:rPr>
            </w:pPr>
            <w:r w:rsidRPr="00340FD8">
              <w:rPr>
                <w:rFonts w:ascii="Calibri" w:hAnsi="Calibri"/>
              </w:rPr>
              <w:t xml:space="preserve">Official representatives from all participating countries are regularly engaged in coordination activities via meetings, calls, emails, providing country in-put and communicating to their relevant stakeholders. </w:t>
            </w:r>
          </w:p>
        </w:tc>
        <w:tc>
          <w:tcPr>
            <w:tcW w:w="1350" w:type="dxa"/>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TNC country rep, OECS secretariat, GEF focal point agencies</w:t>
            </w:r>
          </w:p>
        </w:tc>
        <w:tc>
          <w:tcPr>
            <w:tcW w:w="1380" w:type="dxa"/>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 xml:space="preserve">Annual </w:t>
            </w:r>
          </w:p>
        </w:tc>
        <w:tc>
          <w:tcPr>
            <w:tcW w:w="1500" w:type="dxa"/>
            <w:noWrap/>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Same as above</w:t>
            </w:r>
          </w:p>
        </w:tc>
        <w:tc>
          <w:tcPr>
            <w:tcW w:w="1998" w:type="dxa"/>
            <w:noWrap/>
            <w:hideMark/>
          </w:tcPr>
          <w:p w:rsidR="00340FD8" w:rsidRPr="00340FD8" w:rsidRDefault="00340FD8" w:rsidP="00340FD8">
            <w:pPr>
              <w:rPr>
                <w:rFonts w:ascii="Calibri" w:hAnsi="Calibri"/>
              </w:rPr>
            </w:pPr>
            <w:r w:rsidRPr="00340FD8">
              <w:rPr>
                <w:rFonts w:ascii="Calibri" w:hAnsi="Calibri"/>
              </w:rPr>
              <w:t> </w:t>
            </w:r>
          </w:p>
        </w:tc>
      </w:tr>
      <w:tr w:rsidR="00340FD8" w:rsidRPr="00340FD8" w:rsidTr="00340FD8">
        <w:trPr>
          <w:trHeight w:val="1322"/>
        </w:trPr>
        <w:tc>
          <w:tcPr>
            <w:tcW w:w="3258" w:type="dxa"/>
            <w:hideMark/>
          </w:tcPr>
          <w:p w:rsidR="00340FD8" w:rsidRPr="00340FD8" w:rsidRDefault="00340FD8" w:rsidP="00340FD8">
            <w:pPr>
              <w:rPr>
                <w:rFonts w:ascii="Calibri" w:hAnsi="Calibri"/>
              </w:rPr>
            </w:pPr>
            <w:r w:rsidRPr="00340FD8">
              <w:rPr>
                <w:rFonts w:ascii="Calibri" w:hAnsi="Calibri"/>
              </w:rPr>
              <w:t>Management effectiveness (measured by RAPPAM/METT scores) for 5 countries improved to minimum threshold by the country coordination body (</w:t>
            </w:r>
            <w:r w:rsidR="005E76BA" w:rsidRPr="00340FD8">
              <w:rPr>
                <w:rFonts w:ascii="Calibri" w:hAnsi="Calibri"/>
              </w:rPr>
              <w:t>e.g.</w:t>
            </w:r>
            <w:r w:rsidRPr="00340FD8">
              <w:rPr>
                <w:rFonts w:ascii="Calibri" w:hAnsi="Calibri"/>
              </w:rPr>
              <w:t xml:space="preserve"> NISP) by 2020</w:t>
            </w:r>
          </w:p>
        </w:tc>
        <w:tc>
          <w:tcPr>
            <w:tcW w:w="3690" w:type="dxa"/>
            <w:hideMark/>
          </w:tcPr>
          <w:p w:rsidR="00340FD8" w:rsidRPr="00340FD8" w:rsidRDefault="00340FD8" w:rsidP="00340FD8">
            <w:pPr>
              <w:rPr>
                <w:rFonts w:ascii="Calibri" w:hAnsi="Calibri"/>
              </w:rPr>
            </w:pPr>
            <w:r w:rsidRPr="00340FD8">
              <w:rPr>
                <w:rFonts w:ascii="Calibri" w:hAnsi="Calibri"/>
              </w:rPr>
              <w:t>RAPPAM/METT score improvement (assume baseline exists, if not baseline to be completed by 2012)</w:t>
            </w:r>
          </w:p>
        </w:tc>
        <w:tc>
          <w:tcPr>
            <w:tcW w:w="1350" w:type="dxa"/>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TNC country rep, MPA country officer</w:t>
            </w:r>
          </w:p>
        </w:tc>
        <w:tc>
          <w:tcPr>
            <w:tcW w:w="1380" w:type="dxa"/>
            <w:hideMark/>
          </w:tcPr>
          <w:p w:rsidR="00340FD8" w:rsidRPr="00340FD8" w:rsidRDefault="00340FD8" w:rsidP="00340FD8">
            <w:pPr>
              <w:rPr>
                <w:rFonts w:ascii="Calibri" w:hAnsi="Calibri"/>
              </w:rPr>
            </w:pPr>
            <w:r w:rsidRPr="00340FD8">
              <w:rPr>
                <w:rFonts w:ascii="Calibri" w:hAnsi="Calibri"/>
              </w:rPr>
              <w:t> </w:t>
            </w:r>
            <w:r w:rsidR="00053341" w:rsidRPr="00676AED">
              <w:rPr>
                <w:rFonts w:ascii="Calibri" w:hAnsi="Calibri"/>
              </w:rPr>
              <w:t>every 2 years, in keeping with CBD requirements</w:t>
            </w:r>
          </w:p>
        </w:tc>
        <w:tc>
          <w:tcPr>
            <w:tcW w:w="1500" w:type="dxa"/>
            <w:noWrap/>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Same as above</w:t>
            </w:r>
          </w:p>
        </w:tc>
        <w:tc>
          <w:tcPr>
            <w:tcW w:w="1998" w:type="dxa"/>
            <w:noWrap/>
            <w:hideMark/>
          </w:tcPr>
          <w:p w:rsidR="00340FD8" w:rsidRPr="00340FD8" w:rsidRDefault="00340FD8" w:rsidP="00340FD8">
            <w:pPr>
              <w:rPr>
                <w:rFonts w:ascii="Calibri" w:hAnsi="Calibri"/>
              </w:rPr>
            </w:pPr>
            <w:r w:rsidRPr="00340FD8">
              <w:rPr>
                <w:rFonts w:ascii="Calibri" w:hAnsi="Calibri"/>
              </w:rPr>
              <w:t> </w:t>
            </w:r>
            <w:r w:rsidR="00053341" w:rsidRPr="00676AED">
              <w:rPr>
                <w:rFonts w:ascii="Calibri" w:hAnsi="Calibri"/>
              </w:rPr>
              <w:t>No increase in scores, threshold not met by 2013</w:t>
            </w:r>
          </w:p>
        </w:tc>
      </w:tr>
      <w:tr w:rsidR="00340FD8" w:rsidRPr="00340FD8" w:rsidTr="00340FD8">
        <w:trPr>
          <w:trHeight w:val="600"/>
        </w:trPr>
        <w:tc>
          <w:tcPr>
            <w:tcW w:w="3258" w:type="dxa"/>
            <w:vMerge w:val="restart"/>
            <w:hideMark/>
          </w:tcPr>
          <w:p w:rsidR="00340FD8" w:rsidRPr="00340FD8" w:rsidRDefault="00340FD8" w:rsidP="00340FD8">
            <w:pPr>
              <w:rPr>
                <w:rFonts w:ascii="Calibri" w:hAnsi="Calibri"/>
              </w:rPr>
            </w:pPr>
            <w:r w:rsidRPr="00340FD8">
              <w:rPr>
                <w:rFonts w:ascii="Calibri" w:hAnsi="Calibri"/>
              </w:rPr>
              <w:t>By 2015</w:t>
            </w:r>
            <w:r w:rsidR="00F11F4B" w:rsidRPr="00340FD8">
              <w:rPr>
                <w:rFonts w:ascii="Calibri" w:hAnsi="Calibri"/>
              </w:rPr>
              <w:t>, determine</w:t>
            </w:r>
            <w:r w:rsidRPr="00340FD8">
              <w:rPr>
                <w:rFonts w:ascii="Calibri" w:hAnsi="Calibri"/>
              </w:rPr>
              <w:t xml:space="preserve"> the socio-economic values of MPAs to local/ national communities and </w:t>
            </w:r>
            <w:r w:rsidR="00F11F4B" w:rsidRPr="00340FD8">
              <w:rPr>
                <w:rFonts w:ascii="Calibri" w:hAnsi="Calibri"/>
              </w:rPr>
              <w:t>economies in</w:t>
            </w:r>
            <w:r w:rsidRPr="00340FD8">
              <w:rPr>
                <w:rFonts w:ascii="Calibri" w:hAnsi="Calibri"/>
              </w:rPr>
              <w:t xml:space="preserve"> 5 countries.</w:t>
            </w:r>
          </w:p>
        </w:tc>
        <w:tc>
          <w:tcPr>
            <w:tcW w:w="3690" w:type="dxa"/>
            <w:hideMark/>
          </w:tcPr>
          <w:p w:rsidR="00340FD8" w:rsidRPr="00340FD8" w:rsidRDefault="00340FD8" w:rsidP="00340FD8">
            <w:pPr>
              <w:rPr>
                <w:rFonts w:ascii="Calibri" w:hAnsi="Calibri"/>
              </w:rPr>
            </w:pPr>
            <w:r w:rsidRPr="00340FD8">
              <w:rPr>
                <w:rFonts w:ascii="Calibri" w:hAnsi="Calibri"/>
              </w:rPr>
              <w:t>Number of countries that complete socio-economic valuation studies of MPAs</w:t>
            </w:r>
          </w:p>
        </w:tc>
        <w:tc>
          <w:tcPr>
            <w:tcW w:w="1350" w:type="dxa"/>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TNC country rep, MPA country officer</w:t>
            </w:r>
          </w:p>
        </w:tc>
        <w:tc>
          <w:tcPr>
            <w:tcW w:w="1380" w:type="dxa"/>
            <w:hideMark/>
          </w:tcPr>
          <w:p w:rsidR="00340FD8" w:rsidRPr="00340FD8" w:rsidRDefault="00340FD8" w:rsidP="00340FD8">
            <w:pPr>
              <w:rPr>
                <w:rFonts w:ascii="Calibri" w:hAnsi="Calibri"/>
              </w:rPr>
            </w:pPr>
            <w:r w:rsidRPr="00340FD8">
              <w:rPr>
                <w:rFonts w:ascii="Calibri" w:hAnsi="Calibri"/>
              </w:rPr>
              <w:t> </w:t>
            </w:r>
            <w:r w:rsidR="00053341" w:rsidRPr="00676AED">
              <w:rPr>
                <w:rFonts w:ascii="Calibri" w:hAnsi="Calibri"/>
              </w:rPr>
              <w:t>every 2 years</w:t>
            </w:r>
          </w:p>
        </w:tc>
        <w:tc>
          <w:tcPr>
            <w:tcW w:w="1500" w:type="dxa"/>
            <w:noWrap/>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Same as above</w:t>
            </w:r>
          </w:p>
        </w:tc>
        <w:tc>
          <w:tcPr>
            <w:tcW w:w="1998" w:type="dxa"/>
            <w:noWrap/>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By 2014 valuations not done for 3 or more countries</w:t>
            </w:r>
          </w:p>
        </w:tc>
      </w:tr>
      <w:tr w:rsidR="00340FD8" w:rsidRPr="00340FD8" w:rsidTr="00340FD8">
        <w:trPr>
          <w:trHeight w:val="90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 xml:space="preserve">Management plans are completed that incorporate protection and/or restoration of key ecosystem services </w:t>
            </w:r>
          </w:p>
        </w:tc>
        <w:tc>
          <w:tcPr>
            <w:tcW w:w="1350" w:type="dxa"/>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TNC country rep, MPA country officer</w:t>
            </w:r>
          </w:p>
        </w:tc>
        <w:tc>
          <w:tcPr>
            <w:tcW w:w="1380" w:type="dxa"/>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Annually</w:t>
            </w:r>
          </w:p>
        </w:tc>
        <w:tc>
          <w:tcPr>
            <w:tcW w:w="1500" w:type="dxa"/>
            <w:noWrap/>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Same as above</w:t>
            </w:r>
          </w:p>
        </w:tc>
        <w:tc>
          <w:tcPr>
            <w:tcW w:w="1998" w:type="dxa"/>
            <w:noWrap/>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By 2013 - 3 or less management plans include restoration and protection</w:t>
            </w:r>
          </w:p>
        </w:tc>
      </w:tr>
      <w:tr w:rsidR="00340FD8" w:rsidRPr="00340FD8" w:rsidTr="00340FD8">
        <w:trPr>
          <w:trHeight w:val="90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 xml:space="preserve">Stakeholder KAP (Knowledge, Attitudes and Perceptions) indicate that PAs </w:t>
            </w:r>
            <w:r w:rsidR="002F765B">
              <w:rPr>
                <w:rFonts w:ascii="Calibri" w:hAnsi="Calibri"/>
              </w:rPr>
              <w:t>are</w:t>
            </w:r>
            <w:r w:rsidR="002F765B" w:rsidRPr="00340FD8">
              <w:rPr>
                <w:rFonts w:ascii="Calibri" w:hAnsi="Calibri"/>
              </w:rPr>
              <w:t xml:space="preserve"> </w:t>
            </w:r>
            <w:r w:rsidRPr="00340FD8">
              <w:rPr>
                <w:rFonts w:ascii="Calibri" w:hAnsi="Calibri"/>
              </w:rPr>
              <w:t>perceive</w:t>
            </w:r>
            <w:r w:rsidR="002F765B">
              <w:rPr>
                <w:rFonts w:ascii="Calibri" w:hAnsi="Calibri"/>
              </w:rPr>
              <w:t>d</w:t>
            </w:r>
            <w:r w:rsidRPr="00340FD8">
              <w:rPr>
                <w:rFonts w:ascii="Calibri" w:hAnsi="Calibri"/>
              </w:rPr>
              <w:t xml:space="preserve"> </w:t>
            </w:r>
            <w:r w:rsidR="002F765B">
              <w:rPr>
                <w:rFonts w:ascii="Calibri" w:hAnsi="Calibri"/>
              </w:rPr>
              <w:t>to</w:t>
            </w:r>
            <w:r w:rsidRPr="00340FD8">
              <w:rPr>
                <w:rFonts w:ascii="Calibri" w:hAnsi="Calibri"/>
              </w:rPr>
              <w:t xml:space="preserve"> provide net benefits</w:t>
            </w:r>
          </w:p>
        </w:tc>
        <w:tc>
          <w:tcPr>
            <w:tcW w:w="1350" w:type="dxa"/>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TNC country rep, MPA country officer</w:t>
            </w:r>
          </w:p>
        </w:tc>
        <w:tc>
          <w:tcPr>
            <w:tcW w:w="1380" w:type="dxa"/>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Every 2 years</w:t>
            </w:r>
          </w:p>
        </w:tc>
        <w:tc>
          <w:tcPr>
            <w:tcW w:w="1500" w:type="dxa"/>
            <w:noWrap/>
            <w:hideMark/>
          </w:tcPr>
          <w:p w:rsidR="00340FD8" w:rsidRPr="00340FD8" w:rsidRDefault="00340FD8" w:rsidP="00340FD8">
            <w:pPr>
              <w:rPr>
                <w:rFonts w:ascii="Calibri" w:hAnsi="Calibri"/>
              </w:rPr>
            </w:pPr>
            <w:r w:rsidRPr="00340FD8">
              <w:rPr>
                <w:rFonts w:ascii="Calibri" w:hAnsi="Calibri"/>
              </w:rPr>
              <w:t> </w:t>
            </w:r>
            <w:r w:rsidR="00053341">
              <w:rPr>
                <w:rFonts w:ascii="Calibri" w:hAnsi="Calibri"/>
              </w:rPr>
              <w:t>Same as above</w:t>
            </w:r>
          </w:p>
        </w:tc>
        <w:tc>
          <w:tcPr>
            <w:tcW w:w="1998" w:type="dxa"/>
            <w:noWrap/>
            <w:hideMark/>
          </w:tcPr>
          <w:p w:rsidR="00340FD8" w:rsidRDefault="00340FD8" w:rsidP="00340FD8">
            <w:pPr>
              <w:rPr>
                <w:rFonts w:ascii="Calibri" w:hAnsi="Calibri"/>
              </w:rPr>
            </w:pPr>
            <w:r w:rsidRPr="00340FD8">
              <w:rPr>
                <w:rFonts w:ascii="Calibri" w:hAnsi="Calibri"/>
              </w:rPr>
              <w:t> </w:t>
            </w:r>
            <w:r w:rsidR="00053341">
              <w:rPr>
                <w:rFonts w:ascii="Calibri" w:hAnsi="Calibri"/>
              </w:rPr>
              <w:t>KAP survey not completed by 2013</w:t>
            </w:r>
          </w:p>
          <w:p w:rsidR="00340FD8" w:rsidRPr="00340FD8" w:rsidRDefault="00053341" w:rsidP="00340FD8">
            <w:pPr>
              <w:rPr>
                <w:rFonts w:ascii="Calibri" w:hAnsi="Calibri"/>
              </w:rPr>
            </w:pPr>
            <w:r>
              <w:rPr>
                <w:rFonts w:ascii="Calibri" w:hAnsi="Calibri"/>
              </w:rPr>
              <w:t>No significant change in KAP scores by 2015</w:t>
            </w:r>
          </w:p>
        </w:tc>
      </w:tr>
      <w:tr w:rsidR="00340FD8" w:rsidRPr="00340FD8" w:rsidTr="003B2351">
        <w:trPr>
          <w:trHeight w:val="1200"/>
        </w:trPr>
        <w:tc>
          <w:tcPr>
            <w:tcW w:w="3258" w:type="dxa"/>
            <w:hideMark/>
          </w:tcPr>
          <w:p w:rsidR="00340FD8" w:rsidRPr="00340FD8" w:rsidRDefault="00340FD8" w:rsidP="00340FD8">
            <w:pPr>
              <w:rPr>
                <w:rFonts w:ascii="Calibri" w:hAnsi="Calibri"/>
              </w:rPr>
            </w:pPr>
            <w:r w:rsidRPr="00340FD8">
              <w:rPr>
                <w:rFonts w:ascii="Calibri" w:hAnsi="Calibri"/>
              </w:rPr>
              <w:t>By 2020</w:t>
            </w:r>
            <w:r w:rsidR="00F11F4B" w:rsidRPr="00340FD8">
              <w:rPr>
                <w:rFonts w:ascii="Calibri" w:hAnsi="Calibri"/>
              </w:rPr>
              <w:t>, determine</w:t>
            </w:r>
            <w:r w:rsidRPr="00340FD8">
              <w:rPr>
                <w:rFonts w:ascii="Calibri" w:hAnsi="Calibri"/>
              </w:rPr>
              <w:t xml:space="preserve"> the socio-economic impacts of the MPA enhancement/expansion on human well-being?</w:t>
            </w:r>
          </w:p>
        </w:tc>
        <w:tc>
          <w:tcPr>
            <w:tcW w:w="3690" w:type="dxa"/>
            <w:hideMark/>
          </w:tcPr>
          <w:p w:rsidR="00340FD8" w:rsidRPr="00340FD8" w:rsidRDefault="00340FD8" w:rsidP="00340FD8">
            <w:pPr>
              <w:rPr>
                <w:rFonts w:ascii="Calibri" w:hAnsi="Calibri"/>
              </w:rPr>
            </w:pPr>
            <w:r w:rsidRPr="00340FD8">
              <w:rPr>
                <w:rFonts w:ascii="Calibri" w:hAnsi="Calibri"/>
              </w:rPr>
              <w:t xml:space="preserve">Employment </w:t>
            </w:r>
            <w:r w:rsidR="006E6EED">
              <w:rPr>
                <w:rFonts w:ascii="Calibri" w:hAnsi="Calibri"/>
              </w:rPr>
              <w:t xml:space="preserve">directly related to MPA livelihoods, indirect employment </w:t>
            </w:r>
            <w:r w:rsidRPr="00340FD8">
              <w:rPr>
                <w:rFonts w:ascii="Calibri" w:hAnsi="Calibri"/>
              </w:rPr>
              <w:t xml:space="preserve">rates, </w:t>
            </w:r>
            <w:r w:rsidR="006E6EED">
              <w:rPr>
                <w:rFonts w:ascii="Calibri" w:hAnsi="Calibri"/>
              </w:rPr>
              <w:t xml:space="preserve">incidents of flooding, coastal erosion, and other impacts in </w:t>
            </w:r>
            <w:r w:rsidRPr="00340FD8">
              <w:rPr>
                <w:rFonts w:ascii="Calibri" w:hAnsi="Calibri"/>
              </w:rPr>
              <w:t>MPA buffer communities</w:t>
            </w:r>
          </w:p>
        </w:tc>
        <w:tc>
          <w:tcPr>
            <w:tcW w:w="1350" w:type="dxa"/>
            <w:hideMark/>
          </w:tcPr>
          <w:p w:rsidR="00340FD8" w:rsidRPr="00340FD8" w:rsidRDefault="00340FD8" w:rsidP="00340FD8">
            <w:pPr>
              <w:rPr>
                <w:rFonts w:ascii="Calibri" w:hAnsi="Calibri"/>
              </w:rPr>
            </w:pPr>
            <w:r w:rsidRPr="00340FD8">
              <w:rPr>
                <w:rFonts w:ascii="Calibri" w:hAnsi="Calibri"/>
              </w:rPr>
              <w:t> </w:t>
            </w:r>
            <w:r w:rsidR="006E6EED">
              <w:rPr>
                <w:rFonts w:ascii="Calibri" w:hAnsi="Calibri"/>
              </w:rPr>
              <w:t>TNC country rep, GEF focal point agency</w:t>
            </w:r>
          </w:p>
        </w:tc>
        <w:tc>
          <w:tcPr>
            <w:tcW w:w="1380" w:type="dxa"/>
            <w:hideMark/>
          </w:tcPr>
          <w:p w:rsidR="00340FD8" w:rsidRPr="00340FD8" w:rsidRDefault="00340FD8" w:rsidP="00340FD8">
            <w:pPr>
              <w:rPr>
                <w:rFonts w:ascii="Calibri" w:hAnsi="Calibri"/>
              </w:rPr>
            </w:pPr>
            <w:r w:rsidRPr="00340FD8">
              <w:rPr>
                <w:rFonts w:ascii="Calibri" w:hAnsi="Calibri"/>
              </w:rPr>
              <w:t> </w:t>
            </w:r>
            <w:r w:rsidR="006E6EED" w:rsidRPr="00340FD8">
              <w:rPr>
                <w:rFonts w:ascii="Calibri" w:hAnsi="Calibri"/>
              </w:rPr>
              <w:t> </w:t>
            </w:r>
            <w:r w:rsidR="006E6EED">
              <w:rPr>
                <w:rFonts w:ascii="Calibri" w:hAnsi="Calibri"/>
              </w:rPr>
              <w:t>Every 2 years</w:t>
            </w:r>
          </w:p>
        </w:tc>
        <w:tc>
          <w:tcPr>
            <w:tcW w:w="1500" w:type="dxa"/>
            <w:shd w:val="clear" w:color="auto" w:fill="D9D9D9" w:themeFill="background1" w:themeFillShade="D9"/>
            <w:noWrap/>
            <w:hideMark/>
          </w:tcPr>
          <w:p w:rsidR="00340FD8" w:rsidRPr="00340FD8" w:rsidRDefault="00340FD8" w:rsidP="00340FD8">
            <w:pPr>
              <w:rPr>
                <w:rFonts w:ascii="Calibri" w:hAnsi="Calibri"/>
              </w:rPr>
            </w:pPr>
            <w:r w:rsidRPr="00340FD8">
              <w:rPr>
                <w:rFonts w:ascii="Calibri" w:hAnsi="Calibri"/>
              </w:rPr>
              <w:t> </w:t>
            </w:r>
          </w:p>
        </w:tc>
        <w:tc>
          <w:tcPr>
            <w:tcW w:w="1998" w:type="dxa"/>
            <w:shd w:val="clear" w:color="auto" w:fill="D9D9D9" w:themeFill="background1" w:themeFillShade="D9"/>
            <w:noWrap/>
            <w:hideMark/>
          </w:tcPr>
          <w:p w:rsidR="00340FD8" w:rsidRPr="00340FD8" w:rsidRDefault="00340FD8" w:rsidP="00340FD8">
            <w:pPr>
              <w:rPr>
                <w:rFonts w:ascii="Calibri" w:hAnsi="Calibri"/>
              </w:rPr>
            </w:pPr>
            <w:r w:rsidRPr="00340FD8">
              <w:rPr>
                <w:rFonts w:ascii="Calibri" w:hAnsi="Calibri"/>
              </w:rPr>
              <w:t> </w:t>
            </w:r>
          </w:p>
        </w:tc>
      </w:tr>
      <w:tr w:rsidR="00340FD8" w:rsidRPr="00340FD8" w:rsidTr="003B2351">
        <w:trPr>
          <w:trHeight w:val="1800"/>
        </w:trPr>
        <w:tc>
          <w:tcPr>
            <w:tcW w:w="3258" w:type="dxa"/>
            <w:vMerge w:val="restart"/>
            <w:hideMark/>
          </w:tcPr>
          <w:p w:rsidR="00340FD8" w:rsidRPr="00340FD8" w:rsidRDefault="00340FD8" w:rsidP="00340FD8">
            <w:pPr>
              <w:rPr>
                <w:rFonts w:ascii="Calibri" w:hAnsi="Calibri"/>
              </w:rPr>
            </w:pPr>
            <w:r w:rsidRPr="00340FD8">
              <w:rPr>
                <w:rFonts w:ascii="Calibri" w:hAnsi="Calibri"/>
              </w:rPr>
              <w:t>By 2015 three, and by 2017, five, National  Master Plans are coordinated with and leveraging other national, regional and international environmental and development plans and strategies</w:t>
            </w:r>
          </w:p>
        </w:tc>
        <w:tc>
          <w:tcPr>
            <w:tcW w:w="3690" w:type="dxa"/>
            <w:hideMark/>
          </w:tcPr>
          <w:p w:rsidR="00340FD8" w:rsidRPr="00340FD8" w:rsidRDefault="00340FD8" w:rsidP="00340FD8">
            <w:pPr>
              <w:rPr>
                <w:rFonts w:ascii="Calibri" w:hAnsi="Calibri"/>
              </w:rPr>
            </w:pPr>
            <w:r w:rsidRPr="00340FD8">
              <w:rPr>
                <w:rFonts w:ascii="Calibri" w:hAnsi="Calibri"/>
              </w:rPr>
              <w:t>Government approves PA management Plan</w:t>
            </w:r>
            <w:r w:rsidR="006E6EED">
              <w:rPr>
                <w:rFonts w:ascii="Calibri" w:hAnsi="Calibri"/>
              </w:rPr>
              <w:t>, new policy, strategic plans and annual work plans across sectors incorporate protected area management</w:t>
            </w:r>
          </w:p>
        </w:tc>
        <w:tc>
          <w:tcPr>
            <w:tcW w:w="1350" w:type="dxa"/>
            <w:hideMark/>
          </w:tcPr>
          <w:p w:rsidR="00340FD8" w:rsidRPr="00340FD8" w:rsidRDefault="00340FD8" w:rsidP="00340FD8">
            <w:pPr>
              <w:rPr>
                <w:rFonts w:ascii="Calibri" w:hAnsi="Calibri"/>
              </w:rPr>
            </w:pPr>
            <w:r w:rsidRPr="00340FD8">
              <w:rPr>
                <w:rFonts w:ascii="Calibri" w:hAnsi="Calibri"/>
              </w:rPr>
              <w:t> </w:t>
            </w:r>
            <w:r w:rsidR="006E6EED">
              <w:rPr>
                <w:rFonts w:ascii="Calibri" w:hAnsi="Calibri"/>
              </w:rPr>
              <w:t>TNC country rep, GEF focal point agency</w:t>
            </w:r>
          </w:p>
        </w:tc>
        <w:tc>
          <w:tcPr>
            <w:tcW w:w="1380" w:type="dxa"/>
            <w:hideMark/>
          </w:tcPr>
          <w:p w:rsidR="00340FD8" w:rsidRPr="00340FD8" w:rsidRDefault="00340FD8" w:rsidP="00340FD8">
            <w:pPr>
              <w:rPr>
                <w:rFonts w:ascii="Calibri" w:hAnsi="Calibri"/>
              </w:rPr>
            </w:pPr>
            <w:r w:rsidRPr="00340FD8">
              <w:rPr>
                <w:rFonts w:ascii="Calibri" w:hAnsi="Calibri"/>
              </w:rPr>
              <w:t> </w:t>
            </w:r>
            <w:r w:rsidR="006E6EED">
              <w:rPr>
                <w:rFonts w:ascii="Calibri" w:hAnsi="Calibri"/>
              </w:rPr>
              <w:t>Every 2 years</w:t>
            </w:r>
          </w:p>
        </w:tc>
        <w:tc>
          <w:tcPr>
            <w:tcW w:w="1500" w:type="dxa"/>
            <w:shd w:val="clear" w:color="auto" w:fill="D9D9D9" w:themeFill="background1" w:themeFillShade="D9"/>
            <w:noWrap/>
            <w:hideMark/>
          </w:tcPr>
          <w:p w:rsidR="00340FD8" w:rsidRPr="00340FD8" w:rsidRDefault="00340FD8" w:rsidP="00340FD8">
            <w:pPr>
              <w:rPr>
                <w:rFonts w:ascii="Calibri" w:hAnsi="Calibri"/>
              </w:rPr>
            </w:pPr>
            <w:r w:rsidRPr="00340FD8">
              <w:rPr>
                <w:rFonts w:ascii="Calibri" w:hAnsi="Calibri"/>
              </w:rPr>
              <w:t> </w:t>
            </w:r>
          </w:p>
        </w:tc>
        <w:tc>
          <w:tcPr>
            <w:tcW w:w="1998" w:type="dxa"/>
            <w:shd w:val="clear" w:color="auto" w:fill="D9D9D9" w:themeFill="background1" w:themeFillShade="D9"/>
            <w:noWrap/>
            <w:hideMark/>
          </w:tcPr>
          <w:p w:rsidR="00340FD8" w:rsidRPr="00340FD8" w:rsidRDefault="00340FD8" w:rsidP="00340FD8">
            <w:pPr>
              <w:rPr>
                <w:rFonts w:ascii="Calibri" w:hAnsi="Calibri"/>
              </w:rPr>
            </w:pPr>
            <w:r w:rsidRPr="00340FD8">
              <w:rPr>
                <w:rFonts w:ascii="Calibri" w:hAnsi="Calibri"/>
              </w:rPr>
              <w:t> </w:t>
            </w:r>
          </w:p>
        </w:tc>
      </w:tr>
      <w:tr w:rsidR="00340FD8" w:rsidRPr="00340FD8" w:rsidTr="003B2351">
        <w:trPr>
          <w:trHeight w:val="90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340FD8">
            <w:pPr>
              <w:rPr>
                <w:rFonts w:ascii="Calibri" w:hAnsi="Calibri"/>
              </w:rPr>
            </w:pPr>
            <w:r w:rsidRPr="00340FD8">
              <w:rPr>
                <w:rFonts w:ascii="Calibri" w:hAnsi="Calibri"/>
              </w:rPr>
              <w:t>Assessment and analysis of other efforts and identification of overlap, leverage opportunities, and key synergies</w:t>
            </w:r>
          </w:p>
        </w:tc>
        <w:tc>
          <w:tcPr>
            <w:tcW w:w="1350" w:type="dxa"/>
            <w:hideMark/>
          </w:tcPr>
          <w:p w:rsidR="00340FD8" w:rsidRPr="00340FD8" w:rsidRDefault="00340FD8" w:rsidP="00340FD8">
            <w:pPr>
              <w:rPr>
                <w:rFonts w:ascii="Calibri" w:hAnsi="Calibri"/>
              </w:rPr>
            </w:pPr>
            <w:r w:rsidRPr="00340FD8">
              <w:rPr>
                <w:rFonts w:ascii="Calibri" w:hAnsi="Calibri"/>
              </w:rPr>
              <w:t> </w:t>
            </w:r>
            <w:r w:rsidR="006E6EED">
              <w:rPr>
                <w:rFonts w:ascii="Calibri" w:hAnsi="Calibri"/>
              </w:rPr>
              <w:t xml:space="preserve">TNC country rep, GEF focal point agency, </w:t>
            </w:r>
          </w:p>
        </w:tc>
        <w:tc>
          <w:tcPr>
            <w:tcW w:w="1380" w:type="dxa"/>
            <w:hideMark/>
          </w:tcPr>
          <w:p w:rsidR="00340FD8" w:rsidRPr="00340FD8" w:rsidRDefault="006E6EED" w:rsidP="00340FD8">
            <w:pPr>
              <w:rPr>
                <w:rFonts w:ascii="Calibri" w:hAnsi="Calibri"/>
              </w:rPr>
            </w:pPr>
            <w:r>
              <w:rPr>
                <w:rFonts w:ascii="Calibri" w:hAnsi="Calibri"/>
              </w:rPr>
              <w:t>Every 2 years</w:t>
            </w:r>
          </w:p>
        </w:tc>
        <w:tc>
          <w:tcPr>
            <w:tcW w:w="1500" w:type="dxa"/>
            <w:shd w:val="clear" w:color="auto" w:fill="D9D9D9" w:themeFill="background1" w:themeFillShade="D9"/>
            <w:noWrap/>
            <w:hideMark/>
          </w:tcPr>
          <w:p w:rsidR="00340FD8" w:rsidRPr="00340FD8" w:rsidRDefault="00340FD8" w:rsidP="00340FD8">
            <w:pPr>
              <w:rPr>
                <w:rFonts w:ascii="Calibri" w:hAnsi="Calibri"/>
              </w:rPr>
            </w:pPr>
            <w:r w:rsidRPr="00340FD8">
              <w:rPr>
                <w:rFonts w:ascii="Calibri" w:hAnsi="Calibri"/>
              </w:rPr>
              <w:t> </w:t>
            </w:r>
          </w:p>
        </w:tc>
        <w:tc>
          <w:tcPr>
            <w:tcW w:w="1998" w:type="dxa"/>
            <w:shd w:val="clear" w:color="auto" w:fill="D9D9D9" w:themeFill="background1" w:themeFillShade="D9"/>
            <w:noWrap/>
            <w:hideMark/>
          </w:tcPr>
          <w:p w:rsidR="00340FD8" w:rsidRPr="00340FD8" w:rsidRDefault="00340FD8" w:rsidP="00340FD8">
            <w:pPr>
              <w:rPr>
                <w:rFonts w:ascii="Calibri" w:hAnsi="Calibri"/>
              </w:rPr>
            </w:pPr>
            <w:r w:rsidRPr="00340FD8">
              <w:rPr>
                <w:rFonts w:ascii="Calibri" w:hAnsi="Calibri"/>
              </w:rPr>
              <w:t> </w:t>
            </w:r>
          </w:p>
        </w:tc>
      </w:tr>
      <w:tr w:rsidR="00340FD8" w:rsidRPr="00340FD8" w:rsidTr="003B2351">
        <w:trPr>
          <w:trHeight w:val="600"/>
        </w:trPr>
        <w:tc>
          <w:tcPr>
            <w:tcW w:w="3258" w:type="dxa"/>
            <w:vMerge/>
            <w:hideMark/>
          </w:tcPr>
          <w:p w:rsidR="00340FD8" w:rsidRPr="00340FD8" w:rsidRDefault="00340FD8" w:rsidP="00340FD8">
            <w:pPr>
              <w:rPr>
                <w:rFonts w:ascii="Calibri" w:hAnsi="Calibri"/>
              </w:rPr>
            </w:pPr>
          </w:p>
        </w:tc>
        <w:tc>
          <w:tcPr>
            <w:tcW w:w="3690" w:type="dxa"/>
            <w:hideMark/>
          </w:tcPr>
          <w:p w:rsidR="00340FD8" w:rsidRPr="00340FD8" w:rsidRDefault="00340FD8" w:rsidP="00E06E3D">
            <w:pPr>
              <w:rPr>
                <w:rFonts w:ascii="Calibri" w:hAnsi="Calibri"/>
              </w:rPr>
            </w:pPr>
            <w:r w:rsidRPr="00340FD8">
              <w:rPr>
                <w:rFonts w:ascii="Calibri" w:hAnsi="Calibri"/>
              </w:rPr>
              <w:t>Key leverage opportunities are being realized -</w:t>
            </w:r>
            <w:r w:rsidR="00E06E3D">
              <w:rPr>
                <w:rFonts w:ascii="Calibri" w:hAnsi="Calibri"/>
              </w:rPr>
              <w:t>TBD</w:t>
            </w:r>
          </w:p>
        </w:tc>
        <w:tc>
          <w:tcPr>
            <w:tcW w:w="1350" w:type="dxa"/>
            <w:hideMark/>
          </w:tcPr>
          <w:p w:rsidR="00340FD8" w:rsidRPr="00340FD8" w:rsidRDefault="00340FD8" w:rsidP="00340FD8">
            <w:pPr>
              <w:rPr>
                <w:rFonts w:ascii="Calibri" w:hAnsi="Calibri"/>
              </w:rPr>
            </w:pPr>
            <w:r w:rsidRPr="00340FD8">
              <w:rPr>
                <w:rFonts w:ascii="Calibri" w:hAnsi="Calibri"/>
              </w:rPr>
              <w:t> </w:t>
            </w:r>
            <w:r w:rsidR="006E6EED" w:rsidRPr="00340FD8">
              <w:rPr>
                <w:rFonts w:ascii="Calibri" w:hAnsi="Calibri"/>
              </w:rPr>
              <w:t> </w:t>
            </w:r>
            <w:r w:rsidR="006E6EED">
              <w:rPr>
                <w:rFonts w:ascii="Calibri" w:hAnsi="Calibri"/>
              </w:rPr>
              <w:t>TNC country rep, GEF focal point agency</w:t>
            </w:r>
          </w:p>
        </w:tc>
        <w:tc>
          <w:tcPr>
            <w:tcW w:w="1380" w:type="dxa"/>
            <w:hideMark/>
          </w:tcPr>
          <w:p w:rsidR="00340FD8" w:rsidRPr="00340FD8" w:rsidRDefault="00340FD8" w:rsidP="00340FD8">
            <w:pPr>
              <w:rPr>
                <w:rFonts w:ascii="Calibri" w:hAnsi="Calibri"/>
              </w:rPr>
            </w:pPr>
            <w:r w:rsidRPr="00340FD8">
              <w:rPr>
                <w:rFonts w:ascii="Calibri" w:hAnsi="Calibri"/>
              </w:rPr>
              <w:t> </w:t>
            </w:r>
            <w:r w:rsidR="006E6EED">
              <w:rPr>
                <w:rFonts w:ascii="Calibri" w:hAnsi="Calibri"/>
              </w:rPr>
              <w:t>Every 2 years</w:t>
            </w:r>
          </w:p>
        </w:tc>
        <w:tc>
          <w:tcPr>
            <w:tcW w:w="1500" w:type="dxa"/>
            <w:shd w:val="clear" w:color="auto" w:fill="D9D9D9" w:themeFill="background1" w:themeFillShade="D9"/>
            <w:noWrap/>
            <w:hideMark/>
          </w:tcPr>
          <w:p w:rsidR="00340FD8" w:rsidRPr="00340FD8" w:rsidRDefault="00340FD8" w:rsidP="00340FD8">
            <w:pPr>
              <w:rPr>
                <w:rFonts w:ascii="Calibri" w:hAnsi="Calibri"/>
              </w:rPr>
            </w:pPr>
            <w:r w:rsidRPr="00340FD8">
              <w:rPr>
                <w:rFonts w:ascii="Calibri" w:hAnsi="Calibri"/>
              </w:rPr>
              <w:t> </w:t>
            </w:r>
          </w:p>
        </w:tc>
        <w:tc>
          <w:tcPr>
            <w:tcW w:w="1998" w:type="dxa"/>
            <w:shd w:val="clear" w:color="auto" w:fill="D9D9D9" w:themeFill="background1" w:themeFillShade="D9"/>
            <w:noWrap/>
            <w:hideMark/>
          </w:tcPr>
          <w:p w:rsidR="00340FD8" w:rsidRPr="00340FD8" w:rsidRDefault="00340FD8" w:rsidP="00340FD8">
            <w:pPr>
              <w:rPr>
                <w:rFonts w:ascii="Calibri" w:hAnsi="Calibri"/>
              </w:rPr>
            </w:pPr>
            <w:r w:rsidRPr="00340FD8">
              <w:rPr>
                <w:rFonts w:ascii="Calibri" w:hAnsi="Calibri"/>
              </w:rPr>
              <w:t> </w:t>
            </w:r>
          </w:p>
        </w:tc>
      </w:tr>
    </w:tbl>
    <w:p w:rsidR="0009007D" w:rsidRDefault="0009007D" w:rsidP="00F060CA">
      <w:pPr>
        <w:spacing w:after="0"/>
        <w:rPr>
          <w:rFonts w:ascii="Calibri" w:hAnsi="Calibri"/>
          <w:lang w:val="en-029"/>
        </w:rPr>
      </w:pPr>
    </w:p>
    <w:p w:rsidR="0009007D" w:rsidRDefault="0009007D">
      <w:pPr>
        <w:rPr>
          <w:rFonts w:ascii="Calibri" w:hAnsi="Calibri"/>
          <w:lang w:val="en-029"/>
        </w:rPr>
      </w:pPr>
      <w:r>
        <w:rPr>
          <w:rFonts w:ascii="Calibri" w:hAnsi="Calibri"/>
          <w:lang w:val="en-029"/>
        </w:rPr>
        <w:br w:type="page"/>
      </w:r>
    </w:p>
    <w:p w:rsidR="0009007D" w:rsidRDefault="0009007D" w:rsidP="0009007D">
      <w:pPr>
        <w:pStyle w:val="Heading1"/>
        <w:rPr>
          <w:lang w:val="en-029"/>
        </w:rPr>
      </w:pPr>
      <w:bookmarkStart w:id="29" w:name="_Toc295219036"/>
      <w:r>
        <w:rPr>
          <w:lang w:val="en-029"/>
        </w:rPr>
        <w:lastRenderedPageBreak/>
        <w:t xml:space="preserve">Appendix VI: </w:t>
      </w:r>
      <w:r w:rsidR="00F9702A">
        <w:rPr>
          <w:lang w:val="en-029"/>
        </w:rPr>
        <w:t xml:space="preserve">Caribbean Challenge </w:t>
      </w:r>
      <w:r>
        <w:rPr>
          <w:lang w:val="en-029"/>
        </w:rPr>
        <w:t>implementation in the Overseas Territories</w:t>
      </w:r>
      <w:bookmarkEnd w:id="29"/>
    </w:p>
    <w:p w:rsidR="00F060CA" w:rsidRPr="002D5408" w:rsidRDefault="00F060CA" w:rsidP="002D5408">
      <w:pPr>
        <w:pStyle w:val="Heading2"/>
        <w:rPr>
          <w:lang w:val="en-029"/>
        </w:rPr>
      </w:pPr>
    </w:p>
    <w:p w:rsidR="00B675A6" w:rsidRDefault="0009007D">
      <w:pPr>
        <w:rPr>
          <w:lang w:val="en-029"/>
        </w:rPr>
      </w:pPr>
      <w:r>
        <w:rPr>
          <w:rFonts w:ascii="Calibri" w:hAnsi="Calibri"/>
          <w:i/>
          <w:lang w:val="en-029"/>
        </w:rPr>
        <w:t>This includes territories of the US and UK: Puerto Rico, U</w:t>
      </w:r>
      <w:r w:rsidR="00BD362C">
        <w:rPr>
          <w:rFonts w:ascii="Calibri" w:hAnsi="Calibri"/>
          <w:i/>
          <w:lang w:val="en-029"/>
        </w:rPr>
        <w:t xml:space="preserve">nited States Virgin Islands, Cayman Island and the British Virgin Islands. </w:t>
      </w:r>
      <w:commentRangeStart w:id="30"/>
      <w:r w:rsidR="00BD362C">
        <w:rPr>
          <w:rFonts w:ascii="Calibri" w:hAnsi="Calibri"/>
          <w:i/>
          <w:lang w:val="en-029"/>
        </w:rPr>
        <w:t>To be expanded</w:t>
      </w:r>
      <w:commentRangeEnd w:id="30"/>
      <w:r w:rsidR="00F33B07">
        <w:rPr>
          <w:rStyle w:val="CommentReference"/>
        </w:rPr>
        <w:commentReference w:id="30"/>
      </w:r>
      <w:r w:rsidR="00BD362C">
        <w:rPr>
          <w:rFonts w:ascii="Calibri" w:hAnsi="Calibri"/>
          <w:i/>
          <w:lang w:val="en-029"/>
        </w:rPr>
        <w:t>.</w:t>
      </w:r>
    </w:p>
    <w:p w:rsidR="00B675A6" w:rsidRDefault="00B675A6">
      <w:pPr>
        <w:rPr>
          <w:lang w:val="en-029"/>
        </w:rPr>
      </w:pPr>
    </w:p>
    <w:p w:rsidR="00B675A6" w:rsidRPr="00B675A6" w:rsidRDefault="00B675A6" w:rsidP="00BD362C">
      <w:pPr>
        <w:pStyle w:val="Heading1"/>
        <w:rPr>
          <w:lang w:val="en-029"/>
        </w:rPr>
      </w:pPr>
      <w:bookmarkStart w:id="31" w:name="_Toc295219037"/>
      <w:r w:rsidRPr="00B675A6">
        <w:rPr>
          <w:lang w:val="en-029"/>
        </w:rPr>
        <w:t>Endnotes</w:t>
      </w:r>
      <w:bookmarkEnd w:id="31"/>
    </w:p>
    <w:sectPr w:rsidR="00B675A6" w:rsidRPr="00B675A6" w:rsidSect="00234B43">
      <w:pgSz w:w="15840" w:h="12240" w:orient="landscape"/>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Kimberly John" w:date="2011-06-07T12:14:00Z" w:initials="KJ">
    <w:p w:rsidR="00507599" w:rsidRDefault="00507599">
      <w:pPr>
        <w:pStyle w:val="CommentText"/>
      </w:pPr>
      <w:r>
        <w:rPr>
          <w:rStyle w:val="CommentReference"/>
        </w:rPr>
        <w:annotationRef/>
      </w:r>
      <w:r>
        <w:t>Double check population figures with Sheldon and find credible reference. Ensure that figure is for the insular and not wider caribbean.</w:t>
      </w:r>
    </w:p>
  </w:comment>
  <w:comment w:id="5" w:author="Kimberly John" w:date="2011-06-05T21:57:00Z" w:initials="KJ">
    <w:p w:rsidR="00507599" w:rsidRDefault="00507599">
      <w:pPr>
        <w:pStyle w:val="CommentText"/>
      </w:pPr>
      <w:r>
        <w:rPr>
          <w:rStyle w:val="CommentReference"/>
        </w:rPr>
        <w:annotationRef/>
      </w:r>
      <w:r>
        <w:t>Please note: this goal is not what the governments signed onto it is TNC’s goal as stated in the TNC Caribbean business plan. The difference b/w TNC and Gov’t goals needs to be resolved soon. Awaiting direction…..</w:t>
      </w:r>
    </w:p>
  </w:comment>
  <w:comment w:id="12" w:author="Kimberly John" w:date="2011-06-07T12:33:00Z" w:initials="KJ">
    <w:p w:rsidR="00507599" w:rsidRDefault="00507599">
      <w:pPr>
        <w:pStyle w:val="CommentText"/>
      </w:pPr>
      <w:r>
        <w:rPr>
          <w:rStyle w:val="CommentReference"/>
        </w:rPr>
        <w:annotationRef/>
      </w:r>
      <w:r>
        <w:t>Double check with Sheldon and Rob re accuracy of funding gap.</w:t>
      </w:r>
    </w:p>
  </w:comment>
  <w:comment w:id="13" w:author="TNC_User" w:date="2011-05-27T14:43:00Z" w:initials="T">
    <w:p w:rsidR="00507599" w:rsidRDefault="00507599">
      <w:pPr>
        <w:pStyle w:val="CommentText"/>
      </w:pPr>
      <w:r>
        <w:rPr>
          <w:rStyle w:val="CommentReference"/>
        </w:rPr>
        <w:annotationRef/>
      </w:r>
      <w:r>
        <w:t>RW:  How come no objective from Jamaica?  They need to write and include one here.</w:t>
      </w:r>
    </w:p>
  </w:comment>
  <w:comment w:id="14" w:author="Kimberly John" w:date="2011-06-07T13:00:00Z" w:initials="KJ">
    <w:p w:rsidR="00507599" w:rsidRDefault="00507599">
      <w:pPr>
        <w:pStyle w:val="CommentText"/>
      </w:pPr>
      <w:r>
        <w:rPr>
          <w:rStyle w:val="CommentReference"/>
        </w:rPr>
        <w:annotationRef/>
      </w:r>
      <w:r>
        <w:t>Jamaica team, would you like to add a specific objective to reduce the PA funding gap? Rob is recommending that you add one.</w:t>
      </w:r>
    </w:p>
  </w:comment>
  <w:comment w:id="16" w:author="TNC_User" w:date="2011-05-27T10:57:00Z" w:initials="T">
    <w:p w:rsidR="00507599" w:rsidRDefault="00507599">
      <w:pPr>
        <w:pStyle w:val="CommentText"/>
      </w:pPr>
      <w:r>
        <w:rPr>
          <w:rStyle w:val="CommentReference"/>
        </w:rPr>
        <w:annotationRef/>
      </w:r>
      <w:r>
        <w:t>Carry this wording over to other columns</w:t>
      </w:r>
    </w:p>
  </w:comment>
  <w:comment w:id="17" w:author="Kimberly John" w:date="2011-06-07T13:19:00Z" w:initials="KJ">
    <w:p w:rsidR="00507599" w:rsidRDefault="00507599">
      <w:pPr>
        <w:pStyle w:val="CommentText"/>
      </w:pPr>
      <w:r>
        <w:rPr>
          <w:rStyle w:val="CommentReference"/>
        </w:rPr>
        <w:annotationRef/>
      </w:r>
      <w:r>
        <w:t>It’s up to the countries whether they want to incorporate into national strategies.</w:t>
      </w:r>
    </w:p>
  </w:comment>
  <w:comment w:id="24" w:author="Jensen Reitz Montambault" w:date="2011-05-23T11:52:00Z" w:initials="JRM">
    <w:p w:rsidR="00507599" w:rsidRDefault="00507599">
      <w:pPr>
        <w:pStyle w:val="CommentText"/>
      </w:pPr>
      <w:r>
        <w:rPr>
          <w:rStyle w:val="CommentReference"/>
        </w:rPr>
        <w:annotationRef/>
      </w:r>
      <w:r>
        <w:t>Does this mean that the purpose of socioeconomic monitoring is primarily outreach?</w:t>
      </w:r>
    </w:p>
  </w:comment>
  <w:comment w:id="25" w:author="Kimberly John" w:date="2011-06-07T13:55:00Z" w:initials="KJ">
    <w:p w:rsidR="00507599" w:rsidRDefault="00507599">
      <w:pPr>
        <w:pStyle w:val="CommentText"/>
      </w:pPr>
      <w:r>
        <w:rPr>
          <w:rStyle w:val="CommentReference"/>
        </w:rPr>
        <w:annotationRef/>
      </w:r>
      <w:r w:rsidR="003B2351">
        <w:t>DR team is Jensen’s comment accurate?</w:t>
      </w:r>
    </w:p>
  </w:comment>
  <w:comment w:id="30" w:author="Jensen Reitz Montambault" w:date="2011-05-23T12:06:00Z" w:initials="JRM">
    <w:p w:rsidR="00507599" w:rsidRDefault="00507599">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14E" w:rsidRDefault="006C214E" w:rsidP="00E91E95">
      <w:pPr>
        <w:spacing w:after="0" w:line="240" w:lineRule="auto"/>
      </w:pPr>
      <w:r>
        <w:separator/>
      </w:r>
    </w:p>
  </w:endnote>
  <w:endnote w:type="continuationSeparator" w:id="0">
    <w:p w:rsidR="006C214E" w:rsidRDefault="006C214E" w:rsidP="00E91E95">
      <w:pPr>
        <w:spacing w:after="0" w:line="240" w:lineRule="auto"/>
      </w:pPr>
      <w:r>
        <w:continuationSeparator/>
      </w:r>
    </w:p>
  </w:endnote>
  <w:endnote w:id="1">
    <w:p w:rsidR="00507599" w:rsidRDefault="00507599">
      <w:pPr>
        <w:pStyle w:val="EndnoteText"/>
      </w:pPr>
      <w:r>
        <w:rPr>
          <w:rStyle w:val="EndnoteReference"/>
        </w:rPr>
        <w:endnoteRef/>
      </w:r>
      <w:r>
        <w:t xml:space="preserve"> </w:t>
      </w:r>
      <w:r w:rsidRPr="00701B5A">
        <w:t>Huggins, A.E., S. Keel, P. Kramer, F. Núñez, S. Schill, R. Jeo, A. Chatwin, K. Thurlow, M. McPearson, M. Libby, R. Tingey, M. Palmer and R. Seybert, 2007, Biodiversity Conservation Assessment of the Insular Caribbean Using the Caribbean Decision Support System, Technical Report, The Nature Conservancy</w:t>
      </w:r>
    </w:p>
  </w:endnote>
  <w:endnote w:id="2">
    <w:p w:rsidR="00507599" w:rsidRDefault="00507599" w:rsidP="00195039">
      <w:pPr>
        <w:pStyle w:val="EndnoteText"/>
      </w:pPr>
      <w:r>
        <w:rPr>
          <w:rStyle w:val="EndnoteReference"/>
        </w:rPr>
        <w:endnoteRef/>
      </w:r>
      <w:r>
        <w:t xml:space="preserve"> Burke, L. Reytar, K., Spaulding, M., Perry, A. 2011. Reefs at Risk Revisited World Resources Institute. Washington, D.C.</w:t>
      </w:r>
    </w:p>
  </w:endnote>
  <w:endnote w:id="3">
    <w:p w:rsidR="00507599" w:rsidRDefault="00507599" w:rsidP="00195039">
      <w:pPr>
        <w:autoSpaceDE w:val="0"/>
        <w:autoSpaceDN w:val="0"/>
        <w:adjustRightInd w:val="0"/>
        <w:spacing w:after="0" w:line="240" w:lineRule="auto"/>
        <w:rPr>
          <w:rFonts w:ascii="AGaramond-Regular" w:hAnsi="AGaramond-Regular" w:cs="AGaramond-Regular"/>
          <w:sz w:val="18"/>
          <w:szCs w:val="18"/>
        </w:rPr>
      </w:pPr>
      <w:r>
        <w:rPr>
          <w:rStyle w:val="EndnoteReference"/>
        </w:rPr>
        <w:endnoteRef/>
      </w:r>
      <w:r>
        <w:t xml:space="preserve"> </w:t>
      </w:r>
      <w:r>
        <w:rPr>
          <w:rFonts w:ascii="AGaramond-Regular" w:hAnsi="AGaramond-Regular" w:cs="AGaramond-Regular"/>
          <w:sz w:val="18"/>
          <w:szCs w:val="18"/>
        </w:rPr>
        <w:t>Rodrigues, A.S.L., Andelman, S.J., Bakarr, M.I., Boitani, L., Brooks, T.M., Cowling, R.M., Fishpool, L.D.C., Fonseca,</w:t>
      </w:r>
    </w:p>
    <w:p w:rsidR="00507599" w:rsidRDefault="00507599" w:rsidP="00F11F4B">
      <w:pPr>
        <w:autoSpaceDE w:val="0"/>
        <w:autoSpaceDN w:val="0"/>
        <w:adjustRightInd w:val="0"/>
        <w:spacing w:after="0" w:line="240" w:lineRule="auto"/>
      </w:pPr>
      <w:r>
        <w:rPr>
          <w:rFonts w:ascii="AGaramond-Regular" w:hAnsi="AGaramond-Regular" w:cs="AGaramond-Regular"/>
          <w:sz w:val="18"/>
          <w:szCs w:val="18"/>
        </w:rPr>
        <w:t xml:space="preserve">G.A.B., Gaston, K.J., Hoffman, M., Long, J., Marquet, P.A., Pilgrim, J.D., Pressey, R.L., Schipper, J., Sechrest, W., Stuart, S.N., Underhill, L.G., Waller, R.W., Watts, M.E.J., Xie Y. 2003 </w:t>
      </w:r>
      <w:r>
        <w:rPr>
          <w:rFonts w:ascii="AGaramond-Italic" w:hAnsi="AGaramond-Italic" w:cs="AGaramond-Italic"/>
          <w:i/>
          <w:iCs/>
          <w:sz w:val="18"/>
          <w:szCs w:val="18"/>
        </w:rPr>
        <w:t>Global Gap Analysis: towards a representative network of protected areas</w:t>
      </w:r>
      <w:r>
        <w:rPr>
          <w:rFonts w:ascii="AGaramond-Regular" w:hAnsi="AGaramond-Regular" w:cs="AGaramond-Regular"/>
          <w:sz w:val="18"/>
          <w:szCs w:val="18"/>
        </w:rPr>
        <w:t>. Advances in Applied Biodiversity Science 5. Washington DC: Conservation International.</w:t>
      </w:r>
    </w:p>
  </w:endnote>
  <w:endnote w:id="4">
    <w:p w:rsidR="00507599" w:rsidRDefault="00507599">
      <w:pPr>
        <w:pStyle w:val="EndnoteText"/>
      </w:pPr>
      <w:r>
        <w:rPr>
          <w:rStyle w:val="EndnoteReference"/>
        </w:rPr>
        <w:endnoteRef/>
      </w:r>
      <w:r>
        <w:t xml:space="preserve"> </w:t>
      </w:r>
      <w:r w:rsidRPr="006E356D">
        <w:rPr>
          <w:lang w:val="en-029"/>
        </w:rPr>
        <w:t>TNC 2011, Caribbean Protected Area Database</w:t>
      </w:r>
      <w:r>
        <w:rPr>
          <w:lang w:val="en-029"/>
        </w:rPr>
        <w:t>(in preparation)</w:t>
      </w:r>
    </w:p>
  </w:endnote>
  <w:endnote w:id="5">
    <w:p w:rsidR="00507599" w:rsidRDefault="00507599" w:rsidP="00CC6075">
      <w:pPr>
        <w:pStyle w:val="EndnoteText"/>
      </w:pPr>
      <w:r>
        <w:rPr>
          <w:rStyle w:val="EndnoteReference"/>
        </w:rPr>
        <w:endnoteRef/>
      </w:r>
      <w:r>
        <w:t xml:space="preserve"> The Nature Conservancy’s presence in the Caribbean was launched in 1975 with a gift of 384 hectares (950 acres) on the island of Dominica.</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Garamond-Regular">
    <w:panose1 w:val="00000000000000000000"/>
    <w:charset w:val="00"/>
    <w:family w:val="auto"/>
    <w:notTrueType/>
    <w:pitch w:val="default"/>
    <w:sig w:usb0="00000003" w:usb1="00000000" w:usb2="00000000" w:usb3="00000000" w:csb0="00000001" w:csb1="00000000"/>
  </w:font>
  <w:font w:name="AGaramond-Italic">
    <w:panose1 w:val="00000000000000000000"/>
    <w:charset w:val="00"/>
    <w:family w:val="auto"/>
    <w:notTrueType/>
    <w:pitch w:val="default"/>
    <w:sig w:usb0="00000003" w:usb1="00000000" w:usb2="00000000" w:usb3="00000000" w:csb0="00000001" w:csb1="00000000"/>
  </w:font>
  <w:font w:name="Oakleaf-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07563"/>
      <w:docPartObj>
        <w:docPartGallery w:val="Page Numbers (Bottom of Page)"/>
        <w:docPartUnique/>
      </w:docPartObj>
    </w:sdtPr>
    <w:sdtContent>
      <w:p w:rsidR="00507599" w:rsidRDefault="00507599">
        <w:pPr>
          <w:pStyle w:val="Footer"/>
          <w:jc w:val="center"/>
        </w:pPr>
        <w:fldSimple w:instr=" PAGE   \* MERGEFORMAT ">
          <w:r w:rsidR="007627FA">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855613"/>
      <w:docPartObj>
        <w:docPartGallery w:val="Page Numbers (Bottom of Page)"/>
        <w:docPartUnique/>
      </w:docPartObj>
    </w:sdtPr>
    <w:sdtContent>
      <w:p w:rsidR="00507599" w:rsidRDefault="00507599">
        <w:pPr>
          <w:pStyle w:val="Footer"/>
        </w:pPr>
        <w:fldSimple w:instr=" PAGE   \* MERGEFORMAT ">
          <w:r w:rsidR="009D10F0">
            <w:rPr>
              <w:noProof/>
            </w:rPr>
            <w:t>41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14E" w:rsidRDefault="006C214E" w:rsidP="00E91E95">
      <w:pPr>
        <w:spacing w:after="0" w:line="240" w:lineRule="auto"/>
      </w:pPr>
      <w:r>
        <w:separator/>
      </w:r>
    </w:p>
  </w:footnote>
  <w:footnote w:type="continuationSeparator" w:id="0">
    <w:p w:rsidR="006C214E" w:rsidRDefault="006C214E" w:rsidP="00E91E95">
      <w:pPr>
        <w:spacing w:after="0" w:line="240" w:lineRule="auto"/>
      </w:pPr>
      <w:r>
        <w:continuationSeparator/>
      </w:r>
    </w:p>
  </w:footnote>
  <w:footnote w:id="1">
    <w:p w:rsidR="00507599" w:rsidRDefault="00507599">
      <w:pPr>
        <w:pStyle w:val="FootnoteText"/>
      </w:pPr>
      <w:r>
        <w:rPr>
          <w:rStyle w:val="FootnoteReference"/>
        </w:rPr>
        <w:footnoteRef/>
      </w:r>
      <w:r>
        <w:t xml:space="preserve"> We’re seeking all aspects of marine management objectives, not just no-take, but management for resource extraction, marine mammals,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99" w:rsidRDefault="005075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3.1pt;height:13.1pt;visibility:visible" o:bullet="t">
        <v:imagedata r:id="rId1" o:title=""/>
      </v:shape>
    </w:pict>
  </w:numPicBullet>
  <w:numPicBullet w:numPicBulletId="1">
    <w:pict>
      <v:shape id="_x0000_i1153" type="#_x0000_t75" style="width:13.1pt;height:13.1pt;visibility:visible" o:bullet="t">
        <v:imagedata r:id="rId2" o:title=""/>
      </v:shape>
    </w:pict>
  </w:numPicBullet>
  <w:numPicBullet w:numPicBulletId="2">
    <w:pict>
      <v:shape id="_x0000_i1154" type="#_x0000_t75" style="width:13.1pt;height:13.1pt;visibility:visible" o:bullet="t">
        <v:imagedata r:id="rId3" o:title=""/>
      </v:shape>
    </w:pict>
  </w:numPicBullet>
  <w:abstractNum w:abstractNumId="0">
    <w:nsid w:val="0B754695"/>
    <w:multiLevelType w:val="hybridMultilevel"/>
    <w:tmpl w:val="E8E63CB0"/>
    <w:lvl w:ilvl="0" w:tplc="9D9854E0">
      <w:start w:val="1"/>
      <w:numFmt w:val="bullet"/>
      <w:lvlText w:val=""/>
      <w:lvlPicBulletId w:val="0"/>
      <w:lvlJc w:val="left"/>
      <w:pPr>
        <w:tabs>
          <w:tab w:val="num" w:pos="360"/>
        </w:tabs>
        <w:ind w:left="360" w:hanging="360"/>
      </w:pPr>
      <w:rPr>
        <w:rFonts w:ascii="Symbol" w:hAnsi="Symbol" w:hint="default"/>
      </w:rPr>
    </w:lvl>
    <w:lvl w:ilvl="1" w:tplc="783AE698" w:tentative="1">
      <w:start w:val="1"/>
      <w:numFmt w:val="bullet"/>
      <w:lvlText w:val=""/>
      <w:lvlJc w:val="left"/>
      <w:pPr>
        <w:tabs>
          <w:tab w:val="num" w:pos="1080"/>
        </w:tabs>
        <w:ind w:left="1080" w:hanging="360"/>
      </w:pPr>
      <w:rPr>
        <w:rFonts w:ascii="Symbol" w:hAnsi="Symbol" w:hint="default"/>
      </w:rPr>
    </w:lvl>
    <w:lvl w:ilvl="2" w:tplc="01160E18" w:tentative="1">
      <w:start w:val="1"/>
      <w:numFmt w:val="bullet"/>
      <w:lvlText w:val=""/>
      <w:lvlJc w:val="left"/>
      <w:pPr>
        <w:tabs>
          <w:tab w:val="num" w:pos="1800"/>
        </w:tabs>
        <w:ind w:left="1800" w:hanging="360"/>
      </w:pPr>
      <w:rPr>
        <w:rFonts w:ascii="Symbol" w:hAnsi="Symbol" w:hint="default"/>
      </w:rPr>
    </w:lvl>
    <w:lvl w:ilvl="3" w:tplc="03B2131E" w:tentative="1">
      <w:start w:val="1"/>
      <w:numFmt w:val="bullet"/>
      <w:lvlText w:val=""/>
      <w:lvlJc w:val="left"/>
      <w:pPr>
        <w:tabs>
          <w:tab w:val="num" w:pos="2520"/>
        </w:tabs>
        <w:ind w:left="2520" w:hanging="360"/>
      </w:pPr>
      <w:rPr>
        <w:rFonts w:ascii="Symbol" w:hAnsi="Symbol" w:hint="default"/>
      </w:rPr>
    </w:lvl>
    <w:lvl w:ilvl="4" w:tplc="C86AFF9E" w:tentative="1">
      <w:start w:val="1"/>
      <w:numFmt w:val="bullet"/>
      <w:lvlText w:val=""/>
      <w:lvlJc w:val="left"/>
      <w:pPr>
        <w:tabs>
          <w:tab w:val="num" w:pos="3240"/>
        </w:tabs>
        <w:ind w:left="3240" w:hanging="360"/>
      </w:pPr>
      <w:rPr>
        <w:rFonts w:ascii="Symbol" w:hAnsi="Symbol" w:hint="default"/>
      </w:rPr>
    </w:lvl>
    <w:lvl w:ilvl="5" w:tplc="F4EA6264" w:tentative="1">
      <w:start w:val="1"/>
      <w:numFmt w:val="bullet"/>
      <w:lvlText w:val=""/>
      <w:lvlJc w:val="left"/>
      <w:pPr>
        <w:tabs>
          <w:tab w:val="num" w:pos="3960"/>
        </w:tabs>
        <w:ind w:left="3960" w:hanging="360"/>
      </w:pPr>
      <w:rPr>
        <w:rFonts w:ascii="Symbol" w:hAnsi="Symbol" w:hint="default"/>
      </w:rPr>
    </w:lvl>
    <w:lvl w:ilvl="6" w:tplc="27925A6A" w:tentative="1">
      <w:start w:val="1"/>
      <w:numFmt w:val="bullet"/>
      <w:lvlText w:val=""/>
      <w:lvlJc w:val="left"/>
      <w:pPr>
        <w:tabs>
          <w:tab w:val="num" w:pos="4680"/>
        </w:tabs>
        <w:ind w:left="4680" w:hanging="360"/>
      </w:pPr>
      <w:rPr>
        <w:rFonts w:ascii="Symbol" w:hAnsi="Symbol" w:hint="default"/>
      </w:rPr>
    </w:lvl>
    <w:lvl w:ilvl="7" w:tplc="E5DE2EB6" w:tentative="1">
      <w:start w:val="1"/>
      <w:numFmt w:val="bullet"/>
      <w:lvlText w:val=""/>
      <w:lvlJc w:val="left"/>
      <w:pPr>
        <w:tabs>
          <w:tab w:val="num" w:pos="5400"/>
        </w:tabs>
        <w:ind w:left="5400" w:hanging="360"/>
      </w:pPr>
      <w:rPr>
        <w:rFonts w:ascii="Symbol" w:hAnsi="Symbol" w:hint="default"/>
      </w:rPr>
    </w:lvl>
    <w:lvl w:ilvl="8" w:tplc="8BE8BB74" w:tentative="1">
      <w:start w:val="1"/>
      <w:numFmt w:val="bullet"/>
      <w:lvlText w:val=""/>
      <w:lvlJc w:val="left"/>
      <w:pPr>
        <w:tabs>
          <w:tab w:val="num" w:pos="6120"/>
        </w:tabs>
        <w:ind w:left="6120" w:hanging="360"/>
      </w:pPr>
      <w:rPr>
        <w:rFonts w:ascii="Symbol" w:hAnsi="Symbol" w:hint="default"/>
      </w:rPr>
    </w:lvl>
  </w:abstractNum>
  <w:abstractNum w:abstractNumId="1">
    <w:nsid w:val="15A102CC"/>
    <w:multiLevelType w:val="hybridMultilevel"/>
    <w:tmpl w:val="F5B82FDA"/>
    <w:lvl w:ilvl="0" w:tplc="2DEAB51A">
      <w:start w:val="1"/>
      <w:numFmt w:val="bullet"/>
      <w:lvlText w:val=""/>
      <w:lvlPicBulletId w:val="2"/>
      <w:lvlJc w:val="left"/>
      <w:pPr>
        <w:tabs>
          <w:tab w:val="num" w:pos="720"/>
        </w:tabs>
        <w:ind w:left="720" w:hanging="360"/>
      </w:pPr>
      <w:rPr>
        <w:rFonts w:ascii="Symbol" w:hAnsi="Symbol" w:hint="default"/>
      </w:rPr>
    </w:lvl>
    <w:lvl w:ilvl="1" w:tplc="2384F978" w:tentative="1">
      <w:start w:val="1"/>
      <w:numFmt w:val="bullet"/>
      <w:lvlText w:val=""/>
      <w:lvlJc w:val="left"/>
      <w:pPr>
        <w:tabs>
          <w:tab w:val="num" w:pos="1440"/>
        </w:tabs>
        <w:ind w:left="1440" w:hanging="360"/>
      </w:pPr>
      <w:rPr>
        <w:rFonts w:ascii="Symbol" w:hAnsi="Symbol" w:hint="default"/>
      </w:rPr>
    </w:lvl>
    <w:lvl w:ilvl="2" w:tplc="371825C4" w:tentative="1">
      <w:start w:val="1"/>
      <w:numFmt w:val="bullet"/>
      <w:lvlText w:val=""/>
      <w:lvlJc w:val="left"/>
      <w:pPr>
        <w:tabs>
          <w:tab w:val="num" w:pos="2160"/>
        </w:tabs>
        <w:ind w:left="2160" w:hanging="360"/>
      </w:pPr>
      <w:rPr>
        <w:rFonts w:ascii="Symbol" w:hAnsi="Symbol" w:hint="default"/>
      </w:rPr>
    </w:lvl>
    <w:lvl w:ilvl="3" w:tplc="2A9E503C" w:tentative="1">
      <w:start w:val="1"/>
      <w:numFmt w:val="bullet"/>
      <w:lvlText w:val=""/>
      <w:lvlJc w:val="left"/>
      <w:pPr>
        <w:tabs>
          <w:tab w:val="num" w:pos="2880"/>
        </w:tabs>
        <w:ind w:left="2880" w:hanging="360"/>
      </w:pPr>
      <w:rPr>
        <w:rFonts w:ascii="Symbol" w:hAnsi="Symbol" w:hint="default"/>
      </w:rPr>
    </w:lvl>
    <w:lvl w:ilvl="4" w:tplc="85208882" w:tentative="1">
      <w:start w:val="1"/>
      <w:numFmt w:val="bullet"/>
      <w:lvlText w:val=""/>
      <w:lvlJc w:val="left"/>
      <w:pPr>
        <w:tabs>
          <w:tab w:val="num" w:pos="3600"/>
        </w:tabs>
        <w:ind w:left="3600" w:hanging="360"/>
      </w:pPr>
      <w:rPr>
        <w:rFonts w:ascii="Symbol" w:hAnsi="Symbol" w:hint="default"/>
      </w:rPr>
    </w:lvl>
    <w:lvl w:ilvl="5" w:tplc="880813CE" w:tentative="1">
      <w:start w:val="1"/>
      <w:numFmt w:val="bullet"/>
      <w:lvlText w:val=""/>
      <w:lvlJc w:val="left"/>
      <w:pPr>
        <w:tabs>
          <w:tab w:val="num" w:pos="4320"/>
        </w:tabs>
        <w:ind w:left="4320" w:hanging="360"/>
      </w:pPr>
      <w:rPr>
        <w:rFonts w:ascii="Symbol" w:hAnsi="Symbol" w:hint="default"/>
      </w:rPr>
    </w:lvl>
    <w:lvl w:ilvl="6" w:tplc="3F900064" w:tentative="1">
      <w:start w:val="1"/>
      <w:numFmt w:val="bullet"/>
      <w:lvlText w:val=""/>
      <w:lvlJc w:val="left"/>
      <w:pPr>
        <w:tabs>
          <w:tab w:val="num" w:pos="5040"/>
        </w:tabs>
        <w:ind w:left="5040" w:hanging="360"/>
      </w:pPr>
      <w:rPr>
        <w:rFonts w:ascii="Symbol" w:hAnsi="Symbol" w:hint="default"/>
      </w:rPr>
    </w:lvl>
    <w:lvl w:ilvl="7" w:tplc="518E4054" w:tentative="1">
      <w:start w:val="1"/>
      <w:numFmt w:val="bullet"/>
      <w:lvlText w:val=""/>
      <w:lvlJc w:val="left"/>
      <w:pPr>
        <w:tabs>
          <w:tab w:val="num" w:pos="5760"/>
        </w:tabs>
        <w:ind w:left="5760" w:hanging="360"/>
      </w:pPr>
      <w:rPr>
        <w:rFonts w:ascii="Symbol" w:hAnsi="Symbol" w:hint="default"/>
      </w:rPr>
    </w:lvl>
    <w:lvl w:ilvl="8" w:tplc="55306936" w:tentative="1">
      <w:start w:val="1"/>
      <w:numFmt w:val="bullet"/>
      <w:lvlText w:val=""/>
      <w:lvlJc w:val="left"/>
      <w:pPr>
        <w:tabs>
          <w:tab w:val="num" w:pos="6480"/>
        </w:tabs>
        <w:ind w:left="6480" w:hanging="360"/>
      </w:pPr>
      <w:rPr>
        <w:rFonts w:ascii="Symbol" w:hAnsi="Symbol" w:hint="default"/>
      </w:rPr>
    </w:lvl>
  </w:abstractNum>
  <w:abstractNum w:abstractNumId="2">
    <w:nsid w:val="1C837BC9"/>
    <w:multiLevelType w:val="hybridMultilevel"/>
    <w:tmpl w:val="4444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E67AE"/>
    <w:multiLevelType w:val="hybridMultilevel"/>
    <w:tmpl w:val="A934E1B6"/>
    <w:lvl w:ilvl="0" w:tplc="E892C17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6C6EC6"/>
    <w:multiLevelType w:val="hybridMultilevel"/>
    <w:tmpl w:val="C15A1886"/>
    <w:lvl w:ilvl="0" w:tplc="2F6CA3EC">
      <w:start w:val="1"/>
      <w:numFmt w:val="bullet"/>
      <w:lvlText w:val=""/>
      <w:lvlPicBulletId w:val="1"/>
      <w:lvlJc w:val="left"/>
      <w:pPr>
        <w:tabs>
          <w:tab w:val="num" w:pos="360"/>
        </w:tabs>
        <w:ind w:left="360" w:hanging="360"/>
      </w:pPr>
      <w:rPr>
        <w:rFonts w:ascii="Symbol" w:hAnsi="Symbol" w:hint="default"/>
      </w:rPr>
    </w:lvl>
    <w:lvl w:ilvl="1" w:tplc="249A726C" w:tentative="1">
      <w:start w:val="1"/>
      <w:numFmt w:val="bullet"/>
      <w:lvlText w:val=""/>
      <w:lvlJc w:val="left"/>
      <w:pPr>
        <w:tabs>
          <w:tab w:val="num" w:pos="1080"/>
        </w:tabs>
        <w:ind w:left="1080" w:hanging="360"/>
      </w:pPr>
      <w:rPr>
        <w:rFonts w:ascii="Symbol" w:hAnsi="Symbol" w:hint="default"/>
      </w:rPr>
    </w:lvl>
    <w:lvl w:ilvl="2" w:tplc="23340AE0" w:tentative="1">
      <w:start w:val="1"/>
      <w:numFmt w:val="bullet"/>
      <w:lvlText w:val=""/>
      <w:lvlJc w:val="left"/>
      <w:pPr>
        <w:tabs>
          <w:tab w:val="num" w:pos="1800"/>
        </w:tabs>
        <w:ind w:left="1800" w:hanging="360"/>
      </w:pPr>
      <w:rPr>
        <w:rFonts w:ascii="Symbol" w:hAnsi="Symbol" w:hint="default"/>
      </w:rPr>
    </w:lvl>
    <w:lvl w:ilvl="3" w:tplc="94B69138" w:tentative="1">
      <w:start w:val="1"/>
      <w:numFmt w:val="bullet"/>
      <w:lvlText w:val=""/>
      <w:lvlJc w:val="left"/>
      <w:pPr>
        <w:tabs>
          <w:tab w:val="num" w:pos="2520"/>
        </w:tabs>
        <w:ind w:left="2520" w:hanging="360"/>
      </w:pPr>
      <w:rPr>
        <w:rFonts w:ascii="Symbol" w:hAnsi="Symbol" w:hint="default"/>
      </w:rPr>
    </w:lvl>
    <w:lvl w:ilvl="4" w:tplc="A7EA6ACC" w:tentative="1">
      <w:start w:val="1"/>
      <w:numFmt w:val="bullet"/>
      <w:lvlText w:val=""/>
      <w:lvlJc w:val="left"/>
      <w:pPr>
        <w:tabs>
          <w:tab w:val="num" w:pos="3240"/>
        </w:tabs>
        <w:ind w:left="3240" w:hanging="360"/>
      </w:pPr>
      <w:rPr>
        <w:rFonts w:ascii="Symbol" w:hAnsi="Symbol" w:hint="default"/>
      </w:rPr>
    </w:lvl>
    <w:lvl w:ilvl="5" w:tplc="A4F02C66" w:tentative="1">
      <w:start w:val="1"/>
      <w:numFmt w:val="bullet"/>
      <w:lvlText w:val=""/>
      <w:lvlJc w:val="left"/>
      <w:pPr>
        <w:tabs>
          <w:tab w:val="num" w:pos="3960"/>
        </w:tabs>
        <w:ind w:left="3960" w:hanging="360"/>
      </w:pPr>
      <w:rPr>
        <w:rFonts w:ascii="Symbol" w:hAnsi="Symbol" w:hint="default"/>
      </w:rPr>
    </w:lvl>
    <w:lvl w:ilvl="6" w:tplc="BBF42988" w:tentative="1">
      <w:start w:val="1"/>
      <w:numFmt w:val="bullet"/>
      <w:lvlText w:val=""/>
      <w:lvlJc w:val="left"/>
      <w:pPr>
        <w:tabs>
          <w:tab w:val="num" w:pos="4680"/>
        </w:tabs>
        <w:ind w:left="4680" w:hanging="360"/>
      </w:pPr>
      <w:rPr>
        <w:rFonts w:ascii="Symbol" w:hAnsi="Symbol" w:hint="default"/>
      </w:rPr>
    </w:lvl>
    <w:lvl w:ilvl="7" w:tplc="C78604EC" w:tentative="1">
      <w:start w:val="1"/>
      <w:numFmt w:val="bullet"/>
      <w:lvlText w:val=""/>
      <w:lvlJc w:val="left"/>
      <w:pPr>
        <w:tabs>
          <w:tab w:val="num" w:pos="5400"/>
        </w:tabs>
        <w:ind w:left="5400" w:hanging="360"/>
      </w:pPr>
      <w:rPr>
        <w:rFonts w:ascii="Symbol" w:hAnsi="Symbol" w:hint="default"/>
      </w:rPr>
    </w:lvl>
    <w:lvl w:ilvl="8" w:tplc="1988CF70" w:tentative="1">
      <w:start w:val="1"/>
      <w:numFmt w:val="bullet"/>
      <w:lvlText w:val=""/>
      <w:lvlJc w:val="left"/>
      <w:pPr>
        <w:tabs>
          <w:tab w:val="num" w:pos="6120"/>
        </w:tabs>
        <w:ind w:left="6120" w:hanging="360"/>
      </w:pPr>
      <w:rPr>
        <w:rFonts w:ascii="Symbol" w:hAnsi="Symbol" w:hint="default"/>
      </w:rPr>
    </w:lvl>
  </w:abstractNum>
  <w:abstractNum w:abstractNumId="5">
    <w:nsid w:val="2C514C8F"/>
    <w:multiLevelType w:val="hybridMultilevel"/>
    <w:tmpl w:val="9418D13E"/>
    <w:lvl w:ilvl="0" w:tplc="B9E06B52">
      <w:start w:val="1"/>
      <w:numFmt w:val="bullet"/>
      <w:lvlText w:val="-"/>
      <w:lvlJc w:val="left"/>
      <w:pPr>
        <w:tabs>
          <w:tab w:val="num" w:pos="720"/>
        </w:tabs>
        <w:ind w:left="720" w:hanging="360"/>
      </w:pPr>
      <w:rPr>
        <w:rFonts w:ascii="Times New Roman" w:hAnsi="Times New Roman" w:hint="default"/>
      </w:rPr>
    </w:lvl>
    <w:lvl w:ilvl="1" w:tplc="C116EA72" w:tentative="1">
      <w:start w:val="1"/>
      <w:numFmt w:val="bullet"/>
      <w:lvlText w:val="-"/>
      <w:lvlJc w:val="left"/>
      <w:pPr>
        <w:tabs>
          <w:tab w:val="num" w:pos="1440"/>
        </w:tabs>
        <w:ind w:left="1440" w:hanging="360"/>
      </w:pPr>
      <w:rPr>
        <w:rFonts w:ascii="Times New Roman" w:hAnsi="Times New Roman" w:hint="default"/>
      </w:rPr>
    </w:lvl>
    <w:lvl w:ilvl="2" w:tplc="C12A143A" w:tentative="1">
      <w:start w:val="1"/>
      <w:numFmt w:val="bullet"/>
      <w:lvlText w:val="-"/>
      <w:lvlJc w:val="left"/>
      <w:pPr>
        <w:tabs>
          <w:tab w:val="num" w:pos="2160"/>
        </w:tabs>
        <w:ind w:left="2160" w:hanging="360"/>
      </w:pPr>
      <w:rPr>
        <w:rFonts w:ascii="Times New Roman" w:hAnsi="Times New Roman" w:hint="default"/>
      </w:rPr>
    </w:lvl>
    <w:lvl w:ilvl="3" w:tplc="4BFA4E62" w:tentative="1">
      <w:start w:val="1"/>
      <w:numFmt w:val="bullet"/>
      <w:lvlText w:val="-"/>
      <w:lvlJc w:val="left"/>
      <w:pPr>
        <w:tabs>
          <w:tab w:val="num" w:pos="2880"/>
        </w:tabs>
        <w:ind w:left="2880" w:hanging="360"/>
      </w:pPr>
      <w:rPr>
        <w:rFonts w:ascii="Times New Roman" w:hAnsi="Times New Roman" w:hint="default"/>
      </w:rPr>
    </w:lvl>
    <w:lvl w:ilvl="4" w:tplc="8DAC994E" w:tentative="1">
      <w:start w:val="1"/>
      <w:numFmt w:val="bullet"/>
      <w:lvlText w:val="-"/>
      <w:lvlJc w:val="left"/>
      <w:pPr>
        <w:tabs>
          <w:tab w:val="num" w:pos="3600"/>
        </w:tabs>
        <w:ind w:left="3600" w:hanging="360"/>
      </w:pPr>
      <w:rPr>
        <w:rFonts w:ascii="Times New Roman" w:hAnsi="Times New Roman" w:hint="default"/>
      </w:rPr>
    </w:lvl>
    <w:lvl w:ilvl="5" w:tplc="CFF44EB2" w:tentative="1">
      <w:start w:val="1"/>
      <w:numFmt w:val="bullet"/>
      <w:lvlText w:val="-"/>
      <w:lvlJc w:val="left"/>
      <w:pPr>
        <w:tabs>
          <w:tab w:val="num" w:pos="4320"/>
        </w:tabs>
        <w:ind w:left="4320" w:hanging="360"/>
      </w:pPr>
      <w:rPr>
        <w:rFonts w:ascii="Times New Roman" w:hAnsi="Times New Roman" w:hint="default"/>
      </w:rPr>
    </w:lvl>
    <w:lvl w:ilvl="6" w:tplc="5FD8651A" w:tentative="1">
      <w:start w:val="1"/>
      <w:numFmt w:val="bullet"/>
      <w:lvlText w:val="-"/>
      <w:lvlJc w:val="left"/>
      <w:pPr>
        <w:tabs>
          <w:tab w:val="num" w:pos="5040"/>
        </w:tabs>
        <w:ind w:left="5040" w:hanging="360"/>
      </w:pPr>
      <w:rPr>
        <w:rFonts w:ascii="Times New Roman" w:hAnsi="Times New Roman" w:hint="default"/>
      </w:rPr>
    </w:lvl>
    <w:lvl w:ilvl="7" w:tplc="0B147B9A" w:tentative="1">
      <w:start w:val="1"/>
      <w:numFmt w:val="bullet"/>
      <w:lvlText w:val="-"/>
      <w:lvlJc w:val="left"/>
      <w:pPr>
        <w:tabs>
          <w:tab w:val="num" w:pos="5760"/>
        </w:tabs>
        <w:ind w:left="5760" w:hanging="360"/>
      </w:pPr>
      <w:rPr>
        <w:rFonts w:ascii="Times New Roman" w:hAnsi="Times New Roman" w:hint="default"/>
      </w:rPr>
    </w:lvl>
    <w:lvl w:ilvl="8" w:tplc="5A62E8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C75133"/>
    <w:multiLevelType w:val="hybridMultilevel"/>
    <w:tmpl w:val="3526822A"/>
    <w:lvl w:ilvl="0" w:tplc="8DAA3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B586D"/>
    <w:multiLevelType w:val="hybridMultilevel"/>
    <w:tmpl w:val="B48C0540"/>
    <w:lvl w:ilvl="0" w:tplc="CB4CC1E2">
      <w:start w:val="1"/>
      <w:numFmt w:val="bullet"/>
      <w:lvlText w:val=""/>
      <w:lvlPicBulletId w:val="0"/>
      <w:lvlJc w:val="left"/>
      <w:pPr>
        <w:tabs>
          <w:tab w:val="num" w:pos="360"/>
        </w:tabs>
        <w:ind w:left="360" w:hanging="360"/>
      </w:pPr>
      <w:rPr>
        <w:rFonts w:ascii="Symbol" w:hAnsi="Symbol" w:hint="default"/>
        <w:sz w:val="24"/>
        <w:szCs w:val="24"/>
      </w:rPr>
    </w:lvl>
    <w:lvl w:ilvl="1" w:tplc="D4740524" w:tentative="1">
      <w:start w:val="1"/>
      <w:numFmt w:val="bullet"/>
      <w:lvlText w:val=""/>
      <w:lvlJc w:val="left"/>
      <w:pPr>
        <w:tabs>
          <w:tab w:val="num" w:pos="1080"/>
        </w:tabs>
        <w:ind w:left="1080" w:hanging="360"/>
      </w:pPr>
      <w:rPr>
        <w:rFonts w:ascii="Symbol" w:hAnsi="Symbol" w:hint="default"/>
      </w:rPr>
    </w:lvl>
    <w:lvl w:ilvl="2" w:tplc="90AE0114" w:tentative="1">
      <w:start w:val="1"/>
      <w:numFmt w:val="bullet"/>
      <w:lvlText w:val=""/>
      <w:lvlJc w:val="left"/>
      <w:pPr>
        <w:tabs>
          <w:tab w:val="num" w:pos="1800"/>
        </w:tabs>
        <w:ind w:left="1800" w:hanging="360"/>
      </w:pPr>
      <w:rPr>
        <w:rFonts w:ascii="Symbol" w:hAnsi="Symbol" w:hint="default"/>
      </w:rPr>
    </w:lvl>
    <w:lvl w:ilvl="3" w:tplc="BCD26042" w:tentative="1">
      <w:start w:val="1"/>
      <w:numFmt w:val="bullet"/>
      <w:lvlText w:val=""/>
      <w:lvlJc w:val="left"/>
      <w:pPr>
        <w:tabs>
          <w:tab w:val="num" w:pos="2520"/>
        </w:tabs>
        <w:ind w:left="2520" w:hanging="360"/>
      </w:pPr>
      <w:rPr>
        <w:rFonts w:ascii="Symbol" w:hAnsi="Symbol" w:hint="default"/>
      </w:rPr>
    </w:lvl>
    <w:lvl w:ilvl="4" w:tplc="3498F1AE" w:tentative="1">
      <w:start w:val="1"/>
      <w:numFmt w:val="bullet"/>
      <w:lvlText w:val=""/>
      <w:lvlJc w:val="left"/>
      <w:pPr>
        <w:tabs>
          <w:tab w:val="num" w:pos="3240"/>
        </w:tabs>
        <w:ind w:left="3240" w:hanging="360"/>
      </w:pPr>
      <w:rPr>
        <w:rFonts w:ascii="Symbol" w:hAnsi="Symbol" w:hint="default"/>
      </w:rPr>
    </w:lvl>
    <w:lvl w:ilvl="5" w:tplc="5608E0F6" w:tentative="1">
      <w:start w:val="1"/>
      <w:numFmt w:val="bullet"/>
      <w:lvlText w:val=""/>
      <w:lvlJc w:val="left"/>
      <w:pPr>
        <w:tabs>
          <w:tab w:val="num" w:pos="3960"/>
        </w:tabs>
        <w:ind w:left="3960" w:hanging="360"/>
      </w:pPr>
      <w:rPr>
        <w:rFonts w:ascii="Symbol" w:hAnsi="Symbol" w:hint="default"/>
      </w:rPr>
    </w:lvl>
    <w:lvl w:ilvl="6" w:tplc="EF2E58F4" w:tentative="1">
      <w:start w:val="1"/>
      <w:numFmt w:val="bullet"/>
      <w:lvlText w:val=""/>
      <w:lvlJc w:val="left"/>
      <w:pPr>
        <w:tabs>
          <w:tab w:val="num" w:pos="4680"/>
        </w:tabs>
        <w:ind w:left="4680" w:hanging="360"/>
      </w:pPr>
      <w:rPr>
        <w:rFonts w:ascii="Symbol" w:hAnsi="Symbol" w:hint="default"/>
      </w:rPr>
    </w:lvl>
    <w:lvl w:ilvl="7" w:tplc="F3DAA476" w:tentative="1">
      <w:start w:val="1"/>
      <w:numFmt w:val="bullet"/>
      <w:lvlText w:val=""/>
      <w:lvlJc w:val="left"/>
      <w:pPr>
        <w:tabs>
          <w:tab w:val="num" w:pos="5400"/>
        </w:tabs>
        <w:ind w:left="5400" w:hanging="360"/>
      </w:pPr>
      <w:rPr>
        <w:rFonts w:ascii="Symbol" w:hAnsi="Symbol" w:hint="default"/>
      </w:rPr>
    </w:lvl>
    <w:lvl w:ilvl="8" w:tplc="EC4E0DDC" w:tentative="1">
      <w:start w:val="1"/>
      <w:numFmt w:val="bullet"/>
      <w:lvlText w:val=""/>
      <w:lvlJc w:val="left"/>
      <w:pPr>
        <w:tabs>
          <w:tab w:val="num" w:pos="6120"/>
        </w:tabs>
        <w:ind w:left="6120" w:hanging="360"/>
      </w:pPr>
      <w:rPr>
        <w:rFonts w:ascii="Symbol" w:hAnsi="Symbol" w:hint="default"/>
      </w:rPr>
    </w:lvl>
  </w:abstractNum>
  <w:abstractNum w:abstractNumId="8">
    <w:nsid w:val="4300181B"/>
    <w:multiLevelType w:val="hybridMultilevel"/>
    <w:tmpl w:val="0966D868"/>
    <w:lvl w:ilvl="0" w:tplc="95A2D706">
      <w:start w:val="1"/>
      <w:numFmt w:val="bullet"/>
      <w:lvlText w:val=""/>
      <w:lvlPicBulletId w:val="2"/>
      <w:lvlJc w:val="left"/>
      <w:pPr>
        <w:tabs>
          <w:tab w:val="num" w:pos="720"/>
        </w:tabs>
        <w:ind w:left="720" w:hanging="360"/>
      </w:pPr>
      <w:rPr>
        <w:rFonts w:ascii="Symbol" w:hAnsi="Symbol" w:hint="default"/>
      </w:rPr>
    </w:lvl>
    <w:lvl w:ilvl="1" w:tplc="7B7A882A" w:tentative="1">
      <w:start w:val="1"/>
      <w:numFmt w:val="bullet"/>
      <w:lvlText w:val=""/>
      <w:lvlJc w:val="left"/>
      <w:pPr>
        <w:tabs>
          <w:tab w:val="num" w:pos="1440"/>
        </w:tabs>
        <w:ind w:left="1440" w:hanging="360"/>
      </w:pPr>
      <w:rPr>
        <w:rFonts w:ascii="Symbol" w:hAnsi="Symbol" w:hint="default"/>
      </w:rPr>
    </w:lvl>
    <w:lvl w:ilvl="2" w:tplc="5B343F44" w:tentative="1">
      <w:start w:val="1"/>
      <w:numFmt w:val="bullet"/>
      <w:lvlText w:val=""/>
      <w:lvlJc w:val="left"/>
      <w:pPr>
        <w:tabs>
          <w:tab w:val="num" w:pos="2160"/>
        </w:tabs>
        <w:ind w:left="2160" w:hanging="360"/>
      </w:pPr>
      <w:rPr>
        <w:rFonts w:ascii="Symbol" w:hAnsi="Symbol" w:hint="default"/>
      </w:rPr>
    </w:lvl>
    <w:lvl w:ilvl="3" w:tplc="94445FBE" w:tentative="1">
      <w:start w:val="1"/>
      <w:numFmt w:val="bullet"/>
      <w:lvlText w:val=""/>
      <w:lvlJc w:val="left"/>
      <w:pPr>
        <w:tabs>
          <w:tab w:val="num" w:pos="2880"/>
        </w:tabs>
        <w:ind w:left="2880" w:hanging="360"/>
      </w:pPr>
      <w:rPr>
        <w:rFonts w:ascii="Symbol" w:hAnsi="Symbol" w:hint="default"/>
      </w:rPr>
    </w:lvl>
    <w:lvl w:ilvl="4" w:tplc="98940C2A" w:tentative="1">
      <w:start w:val="1"/>
      <w:numFmt w:val="bullet"/>
      <w:lvlText w:val=""/>
      <w:lvlJc w:val="left"/>
      <w:pPr>
        <w:tabs>
          <w:tab w:val="num" w:pos="3600"/>
        </w:tabs>
        <w:ind w:left="3600" w:hanging="360"/>
      </w:pPr>
      <w:rPr>
        <w:rFonts w:ascii="Symbol" w:hAnsi="Symbol" w:hint="default"/>
      </w:rPr>
    </w:lvl>
    <w:lvl w:ilvl="5" w:tplc="046AB514" w:tentative="1">
      <w:start w:val="1"/>
      <w:numFmt w:val="bullet"/>
      <w:lvlText w:val=""/>
      <w:lvlJc w:val="left"/>
      <w:pPr>
        <w:tabs>
          <w:tab w:val="num" w:pos="4320"/>
        </w:tabs>
        <w:ind w:left="4320" w:hanging="360"/>
      </w:pPr>
      <w:rPr>
        <w:rFonts w:ascii="Symbol" w:hAnsi="Symbol" w:hint="default"/>
      </w:rPr>
    </w:lvl>
    <w:lvl w:ilvl="6" w:tplc="5C28D3D2" w:tentative="1">
      <w:start w:val="1"/>
      <w:numFmt w:val="bullet"/>
      <w:lvlText w:val=""/>
      <w:lvlJc w:val="left"/>
      <w:pPr>
        <w:tabs>
          <w:tab w:val="num" w:pos="5040"/>
        </w:tabs>
        <w:ind w:left="5040" w:hanging="360"/>
      </w:pPr>
      <w:rPr>
        <w:rFonts w:ascii="Symbol" w:hAnsi="Symbol" w:hint="default"/>
      </w:rPr>
    </w:lvl>
    <w:lvl w:ilvl="7" w:tplc="B0288294" w:tentative="1">
      <w:start w:val="1"/>
      <w:numFmt w:val="bullet"/>
      <w:lvlText w:val=""/>
      <w:lvlJc w:val="left"/>
      <w:pPr>
        <w:tabs>
          <w:tab w:val="num" w:pos="5760"/>
        </w:tabs>
        <w:ind w:left="5760" w:hanging="360"/>
      </w:pPr>
      <w:rPr>
        <w:rFonts w:ascii="Symbol" w:hAnsi="Symbol" w:hint="default"/>
      </w:rPr>
    </w:lvl>
    <w:lvl w:ilvl="8" w:tplc="083062E6" w:tentative="1">
      <w:start w:val="1"/>
      <w:numFmt w:val="bullet"/>
      <w:lvlText w:val=""/>
      <w:lvlJc w:val="left"/>
      <w:pPr>
        <w:tabs>
          <w:tab w:val="num" w:pos="6480"/>
        </w:tabs>
        <w:ind w:left="6480" w:hanging="360"/>
      </w:pPr>
      <w:rPr>
        <w:rFonts w:ascii="Symbol" w:hAnsi="Symbol" w:hint="default"/>
      </w:rPr>
    </w:lvl>
  </w:abstractNum>
  <w:abstractNum w:abstractNumId="9">
    <w:nsid w:val="434F02C7"/>
    <w:multiLevelType w:val="hybridMultilevel"/>
    <w:tmpl w:val="8AF2D364"/>
    <w:lvl w:ilvl="0" w:tplc="AF606E20">
      <w:start w:val="1"/>
      <w:numFmt w:val="bullet"/>
      <w:lvlText w:val=""/>
      <w:lvlPicBulletId w:val="2"/>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A55C3E"/>
    <w:multiLevelType w:val="hybridMultilevel"/>
    <w:tmpl w:val="6E620B7A"/>
    <w:lvl w:ilvl="0" w:tplc="D46007A6">
      <w:start w:val="1"/>
      <w:numFmt w:val="bullet"/>
      <w:lvlText w:val="•"/>
      <w:lvlJc w:val="left"/>
      <w:pPr>
        <w:tabs>
          <w:tab w:val="num" w:pos="720"/>
        </w:tabs>
        <w:ind w:left="720" w:hanging="360"/>
      </w:pPr>
      <w:rPr>
        <w:rFonts w:ascii="Times New Roman" w:hAnsi="Times New Roman" w:hint="default"/>
      </w:rPr>
    </w:lvl>
    <w:lvl w:ilvl="1" w:tplc="E9CA6CC6" w:tentative="1">
      <w:start w:val="1"/>
      <w:numFmt w:val="bullet"/>
      <w:lvlText w:val="•"/>
      <w:lvlJc w:val="left"/>
      <w:pPr>
        <w:tabs>
          <w:tab w:val="num" w:pos="1440"/>
        </w:tabs>
        <w:ind w:left="1440" w:hanging="360"/>
      </w:pPr>
      <w:rPr>
        <w:rFonts w:ascii="Times New Roman" w:hAnsi="Times New Roman" w:hint="default"/>
      </w:rPr>
    </w:lvl>
    <w:lvl w:ilvl="2" w:tplc="64FEF452" w:tentative="1">
      <w:start w:val="1"/>
      <w:numFmt w:val="bullet"/>
      <w:lvlText w:val="•"/>
      <w:lvlJc w:val="left"/>
      <w:pPr>
        <w:tabs>
          <w:tab w:val="num" w:pos="2160"/>
        </w:tabs>
        <w:ind w:left="2160" w:hanging="360"/>
      </w:pPr>
      <w:rPr>
        <w:rFonts w:ascii="Times New Roman" w:hAnsi="Times New Roman" w:hint="default"/>
      </w:rPr>
    </w:lvl>
    <w:lvl w:ilvl="3" w:tplc="8D4AF7BA" w:tentative="1">
      <w:start w:val="1"/>
      <w:numFmt w:val="bullet"/>
      <w:lvlText w:val="•"/>
      <w:lvlJc w:val="left"/>
      <w:pPr>
        <w:tabs>
          <w:tab w:val="num" w:pos="2880"/>
        </w:tabs>
        <w:ind w:left="2880" w:hanging="360"/>
      </w:pPr>
      <w:rPr>
        <w:rFonts w:ascii="Times New Roman" w:hAnsi="Times New Roman" w:hint="default"/>
      </w:rPr>
    </w:lvl>
    <w:lvl w:ilvl="4" w:tplc="3C32B44A" w:tentative="1">
      <w:start w:val="1"/>
      <w:numFmt w:val="bullet"/>
      <w:lvlText w:val="•"/>
      <w:lvlJc w:val="left"/>
      <w:pPr>
        <w:tabs>
          <w:tab w:val="num" w:pos="3600"/>
        </w:tabs>
        <w:ind w:left="3600" w:hanging="360"/>
      </w:pPr>
      <w:rPr>
        <w:rFonts w:ascii="Times New Roman" w:hAnsi="Times New Roman" w:hint="default"/>
      </w:rPr>
    </w:lvl>
    <w:lvl w:ilvl="5" w:tplc="1FC2C2AA" w:tentative="1">
      <w:start w:val="1"/>
      <w:numFmt w:val="bullet"/>
      <w:lvlText w:val="•"/>
      <w:lvlJc w:val="left"/>
      <w:pPr>
        <w:tabs>
          <w:tab w:val="num" w:pos="4320"/>
        </w:tabs>
        <w:ind w:left="4320" w:hanging="360"/>
      </w:pPr>
      <w:rPr>
        <w:rFonts w:ascii="Times New Roman" w:hAnsi="Times New Roman" w:hint="default"/>
      </w:rPr>
    </w:lvl>
    <w:lvl w:ilvl="6" w:tplc="7F161488" w:tentative="1">
      <w:start w:val="1"/>
      <w:numFmt w:val="bullet"/>
      <w:lvlText w:val="•"/>
      <w:lvlJc w:val="left"/>
      <w:pPr>
        <w:tabs>
          <w:tab w:val="num" w:pos="5040"/>
        </w:tabs>
        <w:ind w:left="5040" w:hanging="360"/>
      </w:pPr>
      <w:rPr>
        <w:rFonts w:ascii="Times New Roman" w:hAnsi="Times New Roman" w:hint="default"/>
      </w:rPr>
    </w:lvl>
    <w:lvl w:ilvl="7" w:tplc="09649C84" w:tentative="1">
      <w:start w:val="1"/>
      <w:numFmt w:val="bullet"/>
      <w:lvlText w:val="•"/>
      <w:lvlJc w:val="left"/>
      <w:pPr>
        <w:tabs>
          <w:tab w:val="num" w:pos="5760"/>
        </w:tabs>
        <w:ind w:left="5760" w:hanging="360"/>
      </w:pPr>
      <w:rPr>
        <w:rFonts w:ascii="Times New Roman" w:hAnsi="Times New Roman" w:hint="default"/>
      </w:rPr>
    </w:lvl>
    <w:lvl w:ilvl="8" w:tplc="00FADB8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E70EE6"/>
    <w:multiLevelType w:val="hybridMultilevel"/>
    <w:tmpl w:val="75A6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24B96"/>
    <w:multiLevelType w:val="hybridMultilevel"/>
    <w:tmpl w:val="E58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4597C"/>
    <w:multiLevelType w:val="hybridMultilevel"/>
    <w:tmpl w:val="E9DA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16643"/>
    <w:multiLevelType w:val="hybridMultilevel"/>
    <w:tmpl w:val="AA24D628"/>
    <w:lvl w:ilvl="0" w:tplc="515C8E9E">
      <w:start w:val="1"/>
      <w:numFmt w:val="bullet"/>
      <w:lvlText w:val=""/>
      <w:lvlPicBulletId w:val="0"/>
      <w:lvlJc w:val="left"/>
      <w:pPr>
        <w:tabs>
          <w:tab w:val="num" w:pos="360"/>
        </w:tabs>
        <w:ind w:left="360" w:hanging="360"/>
      </w:pPr>
      <w:rPr>
        <w:rFonts w:ascii="Symbol" w:hAnsi="Symbol" w:hint="default"/>
      </w:rPr>
    </w:lvl>
    <w:lvl w:ilvl="1" w:tplc="B532EA5A" w:tentative="1">
      <w:start w:val="1"/>
      <w:numFmt w:val="bullet"/>
      <w:lvlText w:val=""/>
      <w:lvlJc w:val="left"/>
      <w:pPr>
        <w:tabs>
          <w:tab w:val="num" w:pos="1080"/>
        </w:tabs>
        <w:ind w:left="1080" w:hanging="360"/>
      </w:pPr>
      <w:rPr>
        <w:rFonts w:ascii="Symbol" w:hAnsi="Symbol" w:hint="default"/>
      </w:rPr>
    </w:lvl>
    <w:lvl w:ilvl="2" w:tplc="3CDE5E88" w:tentative="1">
      <w:start w:val="1"/>
      <w:numFmt w:val="bullet"/>
      <w:lvlText w:val=""/>
      <w:lvlJc w:val="left"/>
      <w:pPr>
        <w:tabs>
          <w:tab w:val="num" w:pos="1800"/>
        </w:tabs>
        <w:ind w:left="1800" w:hanging="360"/>
      </w:pPr>
      <w:rPr>
        <w:rFonts w:ascii="Symbol" w:hAnsi="Symbol" w:hint="default"/>
      </w:rPr>
    </w:lvl>
    <w:lvl w:ilvl="3" w:tplc="20A825DC" w:tentative="1">
      <w:start w:val="1"/>
      <w:numFmt w:val="bullet"/>
      <w:lvlText w:val=""/>
      <w:lvlJc w:val="left"/>
      <w:pPr>
        <w:tabs>
          <w:tab w:val="num" w:pos="2520"/>
        </w:tabs>
        <w:ind w:left="2520" w:hanging="360"/>
      </w:pPr>
      <w:rPr>
        <w:rFonts w:ascii="Symbol" w:hAnsi="Symbol" w:hint="default"/>
      </w:rPr>
    </w:lvl>
    <w:lvl w:ilvl="4" w:tplc="E03AD4D8" w:tentative="1">
      <w:start w:val="1"/>
      <w:numFmt w:val="bullet"/>
      <w:lvlText w:val=""/>
      <w:lvlJc w:val="left"/>
      <w:pPr>
        <w:tabs>
          <w:tab w:val="num" w:pos="3240"/>
        </w:tabs>
        <w:ind w:left="3240" w:hanging="360"/>
      </w:pPr>
      <w:rPr>
        <w:rFonts w:ascii="Symbol" w:hAnsi="Symbol" w:hint="default"/>
      </w:rPr>
    </w:lvl>
    <w:lvl w:ilvl="5" w:tplc="16AE99F2" w:tentative="1">
      <w:start w:val="1"/>
      <w:numFmt w:val="bullet"/>
      <w:lvlText w:val=""/>
      <w:lvlJc w:val="left"/>
      <w:pPr>
        <w:tabs>
          <w:tab w:val="num" w:pos="3960"/>
        </w:tabs>
        <w:ind w:left="3960" w:hanging="360"/>
      </w:pPr>
      <w:rPr>
        <w:rFonts w:ascii="Symbol" w:hAnsi="Symbol" w:hint="default"/>
      </w:rPr>
    </w:lvl>
    <w:lvl w:ilvl="6" w:tplc="47981DAC" w:tentative="1">
      <w:start w:val="1"/>
      <w:numFmt w:val="bullet"/>
      <w:lvlText w:val=""/>
      <w:lvlJc w:val="left"/>
      <w:pPr>
        <w:tabs>
          <w:tab w:val="num" w:pos="4680"/>
        </w:tabs>
        <w:ind w:left="4680" w:hanging="360"/>
      </w:pPr>
      <w:rPr>
        <w:rFonts w:ascii="Symbol" w:hAnsi="Symbol" w:hint="default"/>
      </w:rPr>
    </w:lvl>
    <w:lvl w:ilvl="7" w:tplc="C1C8A2D0" w:tentative="1">
      <w:start w:val="1"/>
      <w:numFmt w:val="bullet"/>
      <w:lvlText w:val=""/>
      <w:lvlJc w:val="left"/>
      <w:pPr>
        <w:tabs>
          <w:tab w:val="num" w:pos="5400"/>
        </w:tabs>
        <w:ind w:left="5400" w:hanging="360"/>
      </w:pPr>
      <w:rPr>
        <w:rFonts w:ascii="Symbol" w:hAnsi="Symbol" w:hint="default"/>
      </w:rPr>
    </w:lvl>
    <w:lvl w:ilvl="8" w:tplc="A408799C" w:tentative="1">
      <w:start w:val="1"/>
      <w:numFmt w:val="bullet"/>
      <w:lvlText w:val=""/>
      <w:lvlJc w:val="left"/>
      <w:pPr>
        <w:tabs>
          <w:tab w:val="num" w:pos="6120"/>
        </w:tabs>
        <w:ind w:left="6120" w:hanging="360"/>
      </w:pPr>
      <w:rPr>
        <w:rFonts w:ascii="Symbol" w:hAnsi="Symbol" w:hint="default"/>
      </w:rPr>
    </w:lvl>
  </w:abstractNum>
  <w:abstractNum w:abstractNumId="15">
    <w:nsid w:val="64FA23B8"/>
    <w:multiLevelType w:val="hybridMultilevel"/>
    <w:tmpl w:val="1F380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C3617"/>
    <w:multiLevelType w:val="hybridMultilevel"/>
    <w:tmpl w:val="7A7A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EE3058"/>
    <w:multiLevelType w:val="hybridMultilevel"/>
    <w:tmpl w:val="ADBCA5CE"/>
    <w:lvl w:ilvl="0" w:tplc="8090B794">
      <w:start w:val="1"/>
      <w:numFmt w:val="bullet"/>
      <w:lvlText w:val=""/>
      <w:lvlPicBulletId w:val="2"/>
      <w:lvlJc w:val="left"/>
      <w:pPr>
        <w:tabs>
          <w:tab w:val="num" w:pos="720"/>
        </w:tabs>
        <w:ind w:left="720" w:hanging="360"/>
      </w:pPr>
      <w:rPr>
        <w:rFonts w:ascii="Symbol" w:hAnsi="Symbol" w:hint="default"/>
      </w:rPr>
    </w:lvl>
    <w:lvl w:ilvl="1" w:tplc="601A34F0" w:tentative="1">
      <w:start w:val="1"/>
      <w:numFmt w:val="bullet"/>
      <w:lvlText w:val=""/>
      <w:lvlJc w:val="left"/>
      <w:pPr>
        <w:tabs>
          <w:tab w:val="num" w:pos="1440"/>
        </w:tabs>
        <w:ind w:left="1440" w:hanging="360"/>
      </w:pPr>
      <w:rPr>
        <w:rFonts w:ascii="Symbol" w:hAnsi="Symbol" w:hint="default"/>
      </w:rPr>
    </w:lvl>
    <w:lvl w:ilvl="2" w:tplc="30884A82" w:tentative="1">
      <w:start w:val="1"/>
      <w:numFmt w:val="bullet"/>
      <w:lvlText w:val=""/>
      <w:lvlJc w:val="left"/>
      <w:pPr>
        <w:tabs>
          <w:tab w:val="num" w:pos="2160"/>
        </w:tabs>
        <w:ind w:left="2160" w:hanging="360"/>
      </w:pPr>
      <w:rPr>
        <w:rFonts w:ascii="Symbol" w:hAnsi="Symbol" w:hint="default"/>
      </w:rPr>
    </w:lvl>
    <w:lvl w:ilvl="3" w:tplc="E7BCBCE0" w:tentative="1">
      <w:start w:val="1"/>
      <w:numFmt w:val="bullet"/>
      <w:lvlText w:val=""/>
      <w:lvlJc w:val="left"/>
      <w:pPr>
        <w:tabs>
          <w:tab w:val="num" w:pos="2880"/>
        </w:tabs>
        <w:ind w:left="2880" w:hanging="360"/>
      </w:pPr>
      <w:rPr>
        <w:rFonts w:ascii="Symbol" w:hAnsi="Symbol" w:hint="default"/>
      </w:rPr>
    </w:lvl>
    <w:lvl w:ilvl="4" w:tplc="82D6F562" w:tentative="1">
      <w:start w:val="1"/>
      <w:numFmt w:val="bullet"/>
      <w:lvlText w:val=""/>
      <w:lvlJc w:val="left"/>
      <w:pPr>
        <w:tabs>
          <w:tab w:val="num" w:pos="3600"/>
        </w:tabs>
        <w:ind w:left="3600" w:hanging="360"/>
      </w:pPr>
      <w:rPr>
        <w:rFonts w:ascii="Symbol" w:hAnsi="Symbol" w:hint="default"/>
      </w:rPr>
    </w:lvl>
    <w:lvl w:ilvl="5" w:tplc="40F4509C" w:tentative="1">
      <w:start w:val="1"/>
      <w:numFmt w:val="bullet"/>
      <w:lvlText w:val=""/>
      <w:lvlJc w:val="left"/>
      <w:pPr>
        <w:tabs>
          <w:tab w:val="num" w:pos="4320"/>
        </w:tabs>
        <w:ind w:left="4320" w:hanging="360"/>
      </w:pPr>
      <w:rPr>
        <w:rFonts w:ascii="Symbol" w:hAnsi="Symbol" w:hint="default"/>
      </w:rPr>
    </w:lvl>
    <w:lvl w:ilvl="6" w:tplc="CD6654D8" w:tentative="1">
      <w:start w:val="1"/>
      <w:numFmt w:val="bullet"/>
      <w:lvlText w:val=""/>
      <w:lvlJc w:val="left"/>
      <w:pPr>
        <w:tabs>
          <w:tab w:val="num" w:pos="5040"/>
        </w:tabs>
        <w:ind w:left="5040" w:hanging="360"/>
      </w:pPr>
      <w:rPr>
        <w:rFonts w:ascii="Symbol" w:hAnsi="Symbol" w:hint="default"/>
      </w:rPr>
    </w:lvl>
    <w:lvl w:ilvl="7" w:tplc="4536A3C6" w:tentative="1">
      <w:start w:val="1"/>
      <w:numFmt w:val="bullet"/>
      <w:lvlText w:val=""/>
      <w:lvlJc w:val="left"/>
      <w:pPr>
        <w:tabs>
          <w:tab w:val="num" w:pos="5760"/>
        </w:tabs>
        <w:ind w:left="5760" w:hanging="360"/>
      </w:pPr>
      <w:rPr>
        <w:rFonts w:ascii="Symbol" w:hAnsi="Symbol" w:hint="default"/>
      </w:rPr>
    </w:lvl>
    <w:lvl w:ilvl="8" w:tplc="5A04E774" w:tentative="1">
      <w:start w:val="1"/>
      <w:numFmt w:val="bullet"/>
      <w:lvlText w:val=""/>
      <w:lvlJc w:val="left"/>
      <w:pPr>
        <w:tabs>
          <w:tab w:val="num" w:pos="6480"/>
        </w:tabs>
        <w:ind w:left="6480" w:hanging="360"/>
      </w:pPr>
      <w:rPr>
        <w:rFonts w:ascii="Symbol" w:hAnsi="Symbol" w:hint="default"/>
      </w:rPr>
    </w:lvl>
  </w:abstractNum>
  <w:abstractNum w:abstractNumId="18">
    <w:nsid w:val="7D0A3A3B"/>
    <w:multiLevelType w:val="hybridMultilevel"/>
    <w:tmpl w:val="4026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0"/>
  </w:num>
  <w:num w:numId="5">
    <w:abstractNumId w:val="15"/>
  </w:num>
  <w:num w:numId="6">
    <w:abstractNumId w:val="7"/>
  </w:num>
  <w:num w:numId="7">
    <w:abstractNumId w:val="4"/>
  </w:num>
  <w:num w:numId="8">
    <w:abstractNumId w:val="0"/>
  </w:num>
  <w:num w:numId="9">
    <w:abstractNumId w:val="14"/>
  </w:num>
  <w:num w:numId="10">
    <w:abstractNumId w:val="1"/>
  </w:num>
  <w:num w:numId="11">
    <w:abstractNumId w:val="8"/>
  </w:num>
  <w:num w:numId="12">
    <w:abstractNumId w:val="17"/>
  </w:num>
  <w:num w:numId="13">
    <w:abstractNumId w:val="9"/>
  </w:num>
  <w:num w:numId="14">
    <w:abstractNumId w:val="3"/>
  </w:num>
  <w:num w:numId="15">
    <w:abstractNumId w:val="5"/>
  </w:num>
  <w:num w:numId="16">
    <w:abstractNumId w:val="12"/>
  </w:num>
  <w:num w:numId="17">
    <w:abstractNumId w:val="18"/>
  </w:num>
  <w:num w:numId="18">
    <w:abstractNumId w:val="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64A97"/>
    <w:rsid w:val="00003001"/>
    <w:rsid w:val="00004648"/>
    <w:rsid w:val="000075CF"/>
    <w:rsid w:val="000502AB"/>
    <w:rsid w:val="00053341"/>
    <w:rsid w:val="00060496"/>
    <w:rsid w:val="000608D2"/>
    <w:rsid w:val="000620BC"/>
    <w:rsid w:val="00063A09"/>
    <w:rsid w:val="00066BDB"/>
    <w:rsid w:val="00071692"/>
    <w:rsid w:val="00074622"/>
    <w:rsid w:val="0009007D"/>
    <w:rsid w:val="000946ED"/>
    <w:rsid w:val="000A3E3B"/>
    <w:rsid w:val="000B011D"/>
    <w:rsid w:val="000B0293"/>
    <w:rsid w:val="000B33EE"/>
    <w:rsid w:val="000B35E9"/>
    <w:rsid w:val="000C2124"/>
    <w:rsid w:val="000C6655"/>
    <w:rsid w:val="000C7C14"/>
    <w:rsid w:val="000D23F9"/>
    <w:rsid w:val="000D510A"/>
    <w:rsid w:val="000E5AA8"/>
    <w:rsid w:val="000F3719"/>
    <w:rsid w:val="00102656"/>
    <w:rsid w:val="001126D8"/>
    <w:rsid w:val="00121DC0"/>
    <w:rsid w:val="00127B55"/>
    <w:rsid w:val="001341E7"/>
    <w:rsid w:val="00145CC0"/>
    <w:rsid w:val="00147E48"/>
    <w:rsid w:val="00156A62"/>
    <w:rsid w:val="0015769B"/>
    <w:rsid w:val="001640D6"/>
    <w:rsid w:val="00176057"/>
    <w:rsid w:val="001848D9"/>
    <w:rsid w:val="0018493E"/>
    <w:rsid w:val="00195039"/>
    <w:rsid w:val="00196A0C"/>
    <w:rsid w:val="001A07F4"/>
    <w:rsid w:val="001B0B96"/>
    <w:rsid w:val="001C1392"/>
    <w:rsid w:val="001C1667"/>
    <w:rsid w:val="001D5619"/>
    <w:rsid w:val="001E721C"/>
    <w:rsid w:val="001F5A8A"/>
    <w:rsid w:val="00201454"/>
    <w:rsid w:val="00206656"/>
    <w:rsid w:val="00206DFA"/>
    <w:rsid w:val="00211647"/>
    <w:rsid w:val="0021274F"/>
    <w:rsid w:val="00217374"/>
    <w:rsid w:val="00220980"/>
    <w:rsid w:val="002272A0"/>
    <w:rsid w:val="00232AB5"/>
    <w:rsid w:val="002347AB"/>
    <w:rsid w:val="00234B43"/>
    <w:rsid w:val="00243A13"/>
    <w:rsid w:val="00246EE2"/>
    <w:rsid w:val="0025006F"/>
    <w:rsid w:val="00280C37"/>
    <w:rsid w:val="002B31CF"/>
    <w:rsid w:val="002B3B40"/>
    <w:rsid w:val="002B7C06"/>
    <w:rsid w:val="002C48BF"/>
    <w:rsid w:val="002C701C"/>
    <w:rsid w:val="002D3B58"/>
    <w:rsid w:val="002D5408"/>
    <w:rsid w:val="002D73CA"/>
    <w:rsid w:val="002E3631"/>
    <w:rsid w:val="002E5D65"/>
    <w:rsid w:val="002F765B"/>
    <w:rsid w:val="00303F5A"/>
    <w:rsid w:val="00305198"/>
    <w:rsid w:val="0031078C"/>
    <w:rsid w:val="003143F5"/>
    <w:rsid w:val="00321497"/>
    <w:rsid w:val="0032781E"/>
    <w:rsid w:val="003321CC"/>
    <w:rsid w:val="00340FD8"/>
    <w:rsid w:val="00342546"/>
    <w:rsid w:val="003429B0"/>
    <w:rsid w:val="00344EB1"/>
    <w:rsid w:val="00380811"/>
    <w:rsid w:val="00386F96"/>
    <w:rsid w:val="00393F72"/>
    <w:rsid w:val="00395847"/>
    <w:rsid w:val="00397553"/>
    <w:rsid w:val="003B2351"/>
    <w:rsid w:val="003B5D6F"/>
    <w:rsid w:val="003D1AEC"/>
    <w:rsid w:val="003D1D09"/>
    <w:rsid w:val="003D55DC"/>
    <w:rsid w:val="003F1DD1"/>
    <w:rsid w:val="00403806"/>
    <w:rsid w:val="004059A3"/>
    <w:rsid w:val="00406A3F"/>
    <w:rsid w:val="00407CED"/>
    <w:rsid w:val="00407EEC"/>
    <w:rsid w:val="00410440"/>
    <w:rsid w:val="0041612A"/>
    <w:rsid w:val="0041626E"/>
    <w:rsid w:val="00420A78"/>
    <w:rsid w:val="0042753E"/>
    <w:rsid w:val="0043708D"/>
    <w:rsid w:val="00440032"/>
    <w:rsid w:val="00445950"/>
    <w:rsid w:val="004468EE"/>
    <w:rsid w:val="00447C28"/>
    <w:rsid w:val="00450955"/>
    <w:rsid w:val="00452A9D"/>
    <w:rsid w:val="00456380"/>
    <w:rsid w:val="00460F15"/>
    <w:rsid w:val="00471D0B"/>
    <w:rsid w:val="004825FD"/>
    <w:rsid w:val="004863C1"/>
    <w:rsid w:val="00491980"/>
    <w:rsid w:val="004A714C"/>
    <w:rsid w:val="004B4655"/>
    <w:rsid w:val="004C5C6A"/>
    <w:rsid w:val="004D0557"/>
    <w:rsid w:val="004D0BB7"/>
    <w:rsid w:val="004D34AE"/>
    <w:rsid w:val="004D6DDF"/>
    <w:rsid w:val="004E6176"/>
    <w:rsid w:val="004E672C"/>
    <w:rsid w:val="004F1AE7"/>
    <w:rsid w:val="00507599"/>
    <w:rsid w:val="0051465B"/>
    <w:rsid w:val="005152C6"/>
    <w:rsid w:val="005160F5"/>
    <w:rsid w:val="005418FC"/>
    <w:rsid w:val="005432AC"/>
    <w:rsid w:val="00550855"/>
    <w:rsid w:val="00567637"/>
    <w:rsid w:val="00567F32"/>
    <w:rsid w:val="0057587A"/>
    <w:rsid w:val="00577CB1"/>
    <w:rsid w:val="005811B9"/>
    <w:rsid w:val="005855AC"/>
    <w:rsid w:val="00586237"/>
    <w:rsid w:val="005A597C"/>
    <w:rsid w:val="005C13A3"/>
    <w:rsid w:val="005E274F"/>
    <w:rsid w:val="005E76BA"/>
    <w:rsid w:val="005F54F9"/>
    <w:rsid w:val="006133B7"/>
    <w:rsid w:val="0061442A"/>
    <w:rsid w:val="006145A0"/>
    <w:rsid w:val="00623931"/>
    <w:rsid w:val="00630963"/>
    <w:rsid w:val="00633993"/>
    <w:rsid w:val="00634C97"/>
    <w:rsid w:val="006374BF"/>
    <w:rsid w:val="00641099"/>
    <w:rsid w:val="0064157D"/>
    <w:rsid w:val="0064636A"/>
    <w:rsid w:val="00652D05"/>
    <w:rsid w:val="00665EDC"/>
    <w:rsid w:val="00674A82"/>
    <w:rsid w:val="0067537E"/>
    <w:rsid w:val="00676AED"/>
    <w:rsid w:val="00691D95"/>
    <w:rsid w:val="00695062"/>
    <w:rsid w:val="00696EF7"/>
    <w:rsid w:val="006A6442"/>
    <w:rsid w:val="006B0E3F"/>
    <w:rsid w:val="006C214E"/>
    <w:rsid w:val="006C3BB5"/>
    <w:rsid w:val="006C6797"/>
    <w:rsid w:val="006C7251"/>
    <w:rsid w:val="006D2533"/>
    <w:rsid w:val="006D2CDC"/>
    <w:rsid w:val="006D3D86"/>
    <w:rsid w:val="006D4FB6"/>
    <w:rsid w:val="006D55F4"/>
    <w:rsid w:val="006E356D"/>
    <w:rsid w:val="006E6EED"/>
    <w:rsid w:val="007006E7"/>
    <w:rsid w:val="00701B5A"/>
    <w:rsid w:val="00704D56"/>
    <w:rsid w:val="0071570B"/>
    <w:rsid w:val="00720577"/>
    <w:rsid w:val="00745D4D"/>
    <w:rsid w:val="00747ABB"/>
    <w:rsid w:val="00754B8F"/>
    <w:rsid w:val="00755730"/>
    <w:rsid w:val="007627FA"/>
    <w:rsid w:val="00764A97"/>
    <w:rsid w:val="00765087"/>
    <w:rsid w:val="007678A0"/>
    <w:rsid w:val="007736CA"/>
    <w:rsid w:val="0079271E"/>
    <w:rsid w:val="007B3361"/>
    <w:rsid w:val="007C13D8"/>
    <w:rsid w:val="007C2736"/>
    <w:rsid w:val="007C4D90"/>
    <w:rsid w:val="007D194B"/>
    <w:rsid w:val="007E2621"/>
    <w:rsid w:val="007E472A"/>
    <w:rsid w:val="007F031D"/>
    <w:rsid w:val="0080251A"/>
    <w:rsid w:val="00815622"/>
    <w:rsid w:val="00822697"/>
    <w:rsid w:val="00827711"/>
    <w:rsid w:val="008327D8"/>
    <w:rsid w:val="00845B00"/>
    <w:rsid w:val="00861771"/>
    <w:rsid w:val="00862733"/>
    <w:rsid w:val="00863580"/>
    <w:rsid w:val="0086458B"/>
    <w:rsid w:val="0087719C"/>
    <w:rsid w:val="00877283"/>
    <w:rsid w:val="00892965"/>
    <w:rsid w:val="00893FCF"/>
    <w:rsid w:val="00896A5F"/>
    <w:rsid w:val="0089793F"/>
    <w:rsid w:val="008A1B52"/>
    <w:rsid w:val="008A2F05"/>
    <w:rsid w:val="008B4CC1"/>
    <w:rsid w:val="008C6093"/>
    <w:rsid w:val="008D2190"/>
    <w:rsid w:val="008D6F23"/>
    <w:rsid w:val="008E396C"/>
    <w:rsid w:val="008F3F2E"/>
    <w:rsid w:val="00900C57"/>
    <w:rsid w:val="00917B65"/>
    <w:rsid w:val="00917E18"/>
    <w:rsid w:val="009214F2"/>
    <w:rsid w:val="009331A9"/>
    <w:rsid w:val="00935EC9"/>
    <w:rsid w:val="0093622F"/>
    <w:rsid w:val="00940C4C"/>
    <w:rsid w:val="00942B25"/>
    <w:rsid w:val="00942EDD"/>
    <w:rsid w:val="00944F52"/>
    <w:rsid w:val="00947B89"/>
    <w:rsid w:val="009618C1"/>
    <w:rsid w:val="0096696F"/>
    <w:rsid w:val="00967BA7"/>
    <w:rsid w:val="00980266"/>
    <w:rsid w:val="009921AE"/>
    <w:rsid w:val="009A0AA0"/>
    <w:rsid w:val="009B0AE5"/>
    <w:rsid w:val="009B3578"/>
    <w:rsid w:val="009B4150"/>
    <w:rsid w:val="009B41A1"/>
    <w:rsid w:val="009D10F0"/>
    <w:rsid w:val="009D1AF3"/>
    <w:rsid w:val="009D2697"/>
    <w:rsid w:val="009F0806"/>
    <w:rsid w:val="009F18A7"/>
    <w:rsid w:val="009F4158"/>
    <w:rsid w:val="00A10378"/>
    <w:rsid w:val="00A165AA"/>
    <w:rsid w:val="00A1690C"/>
    <w:rsid w:val="00A21108"/>
    <w:rsid w:val="00A24710"/>
    <w:rsid w:val="00A260A1"/>
    <w:rsid w:val="00A4024C"/>
    <w:rsid w:val="00A53731"/>
    <w:rsid w:val="00A55465"/>
    <w:rsid w:val="00A61DD7"/>
    <w:rsid w:val="00A62322"/>
    <w:rsid w:val="00A644B9"/>
    <w:rsid w:val="00A650CC"/>
    <w:rsid w:val="00A7250E"/>
    <w:rsid w:val="00A7671C"/>
    <w:rsid w:val="00A81C63"/>
    <w:rsid w:val="00A84ED7"/>
    <w:rsid w:val="00A947F2"/>
    <w:rsid w:val="00A94A83"/>
    <w:rsid w:val="00AA6A63"/>
    <w:rsid w:val="00AD46A3"/>
    <w:rsid w:val="00AE4638"/>
    <w:rsid w:val="00AF7A2A"/>
    <w:rsid w:val="00B15EBC"/>
    <w:rsid w:val="00B346F3"/>
    <w:rsid w:val="00B45082"/>
    <w:rsid w:val="00B675A6"/>
    <w:rsid w:val="00B70A33"/>
    <w:rsid w:val="00B810A7"/>
    <w:rsid w:val="00B9703F"/>
    <w:rsid w:val="00BB0984"/>
    <w:rsid w:val="00BB09B4"/>
    <w:rsid w:val="00BB4882"/>
    <w:rsid w:val="00BC19F5"/>
    <w:rsid w:val="00BD1D79"/>
    <w:rsid w:val="00BD362C"/>
    <w:rsid w:val="00BD709D"/>
    <w:rsid w:val="00BD78A7"/>
    <w:rsid w:val="00BE0AC3"/>
    <w:rsid w:val="00BE3CB2"/>
    <w:rsid w:val="00BF62C0"/>
    <w:rsid w:val="00C03CAF"/>
    <w:rsid w:val="00C060E5"/>
    <w:rsid w:val="00C148F8"/>
    <w:rsid w:val="00C15E4E"/>
    <w:rsid w:val="00C229A6"/>
    <w:rsid w:val="00C36C18"/>
    <w:rsid w:val="00C410B8"/>
    <w:rsid w:val="00C42618"/>
    <w:rsid w:val="00C5153C"/>
    <w:rsid w:val="00C54AB6"/>
    <w:rsid w:val="00C60DF7"/>
    <w:rsid w:val="00C61BC3"/>
    <w:rsid w:val="00C61CC0"/>
    <w:rsid w:val="00C65776"/>
    <w:rsid w:val="00C66334"/>
    <w:rsid w:val="00C67044"/>
    <w:rsid w:val="00C67780"/>
    <w:rsid w:val="00C83482"/>
    <w:rsid w:val="00C93327"/>
    <w:rsid w:val="00C95545"/>
    <w:rsid w:val="00C96EF8"/>
    <w:rsid w:val="00CB1635"/>
    <w:rsid w:val="00CB64B6"/>
    <w:rsid w:val="00CC4212"/>
    <w:rsid w:val="00CC45FE"/>
    <w:rsid w:val="00CC6075"/>
    <w:rsid w:val="00CD2219"/>
    <w:rsid w:val="00CE4123"/>
    <w:rsid w:val="00CE6D3D"/>
    <w:rsid w:val="00CF5B42"/>
    <w:rsid w:val="00D11A06"/>
    <w:rsid w:val="00D11F1E"/>
    <w:rsid w:val="00D16186"/>
    <w:rsid w:val="00D41519"/>
    <w:rsid w:val="00D61C65"/>
    <w:rsid w:val="00D67114"/>
    <w:rsid w:val="00D80860"/>
    <w:rsid w:val="00DA0C15"/>
    <w:rsid w:val="00DB4491"/>
    <w:rsid w:val="00DC3FCA"/>
    <w:rsid w:val="00DF4D42"/>
    <w:rsid w:val="00E03060"/>
    <w:rsid w:val="00E06E3D"/>
    <w:rsid w:val="00E30784"/>
    <w:rsid w:val="00E469BA"/>
    <w:rsid w:val="00E5012E"/>
    <w:rsid w:val="00E505B5"/>
    <w:rsid w:val="00E61538"/>
    <w:rsid w:val="00E66628"/>
    <w:rsid w:val="00E7707D"/>
    <w:rsid w:val="00E809F7"/>
    <w:rsid w:val="00E91E95"/>
    <w:rsid w:val="00EA393F"/>
    <w:rsid w:val="00EA64FA"/>
    <w:rsid w:val="00EB3F4F"/>
    <w:rsid w:val="00EC430A"/>
    <w:rsid w:val="00ED3D7F"/>
    <w:rsid w:val="00F01306"/>
    <w:rsid w:val="00F029D1"/>
    <w:rsid w:val="00F037EF"/>
    <w:rsid w:val="00F05C06"/>
    <w:rsid w:val="00F060CA"/>
    <w:rsid w:val="00F07890"/>
    <w:rsid w:val="00F11F4B"/>
    <w:rsid w:val="00F12973"/>
    <w:rsid w:val="00F20A32"/>
    <w:rsid w:val="00F33B07"/>
    <w:rsid w:val="00F40301"/>
    <w:rsid w:val="00F43A6D"/>
    <w:rsid w:val="00F47B87"/>
    <w:rsid w:val="00F502BA"/>
    <w:rsid w:val="00F518ED"/>
    <w:rsid w:val="00F5243A"/>
    <w:rsid w:val="00F8672A"/>
    <w:rsid w:val="00F86F9A"/>
    <w:rsid w:val="00F91014"/>
    <w:rsid w:val="00F91061"/>
    <w:rsid w:val="00F9702A"/>
    <w:rsid w:val="00FA6034"/>
    <w:rsid w:val="00FF02CA"/>
    <w:rsid w:val="00FF1299"/>
    <w:rsid w:val="00FF2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97"/>
  </w:style>
  <w:style w:type="paragraph" w:styleId="Heading1">
    <w:name w:val="heading 1"/>
    <w:basedOn w:val="Normal"/>
    <w:next w:val="Normal"/>
    <w:link w:val="Heading1Char"/>
    <w:uiPriority w:val="9"/>
    <w:qFormat/>
    <w:rsid w:val="007B3361"/>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7B3361"/>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F060CA"/>
    <w:pPr>
      <w:keepNext/>
      <w:keepLines/>
      <w:spacing w:before="200" w:after="0"/>
      <w:outlineLvl w:val="2"/>
    </w:pPr>
    <w:rPr>
      <w:rFonts w:asciiTheme="majorHAnsi" w:eastAsiaTheme="majorEastAsia" w:hAnsiTheme="majorHAnsi" w:cstheme="majorBidi"/>
      <w:b/>
      <w:bCs/>
      <w:color w:val="0F6FC6"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4"/>
    <w:pPr>
      <w:ind w:left="720"/>
      <w:contextualSpacing/>
    </w:pPr>
  </w:style>
  <w:style w:type="table" w:styleId="TableGrid">
    <w:name w:val="Table Grid"/>
    <w:basedOn w:val="TableNormal"/>
    <w:uiPriority w:val="59"/>
    <w:rsid w:val="00F91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D55F4"/>
    <w:pPr>
      <w:spacing w:line="240" w:lineRule="auto"/>
    </w:pPr>
    <w:rPr>
      <w:b/>
      <w:bCs/>
      <w:color w:val="0F6FC6" w:themeColor="accent1"/>
      <w:sz w:val="18"/>
      <w:szCs w:val="18"/>
    </w:rPr>
  </w:style>
  <w:style w:type="character" w:styleId="CommentReference">
    <w:name w:val="annotation reference"/>
    <w:basedOn w:val="DefaultParagraphFont"/>
    <w:uiPriority w:val="99"/>
    <w:semiHidden/>
    <w:unhideWhenUsed/>
    <w:rsid w:val="00395847"/>
    <w:rPr>
      <w:sz w:val="16"/>
      <w:szCs w:val="16"/>
    </w:rPr>
  </w:style>
  <w:style w:type="paragraph" w:styleId="CommentText">
    <w:name w:val="annotation text"/>
    <w:basedOn w:val="Normal"/>
    <w:link w:val="CommentTextChar"/>
    <w:uiPriority w:val="99"/>
    <w:unhideWhenUsed/>
    <w:rsid w:val="00395847"/>
    <w:pPr>
      <w:spacing w:line="240" w:lineRule="auto"/>
    </w:pPr>
    <w:rPr>
      <w:sz w:val="20"/>
      <w:szCs w:val="20"/>
    </w:rPr>
  </w:style>
  <w:style w:type="character" w:customStyle="1" w:styleId="CommentTextChar">
    <w:name w:val="Comment Text Char"/>
    <w:basedOn w:val="DefaultParagraphFont"/>
    <w:link w:val="CommentText"/>
    <w:uiPriority w:val="99"/>
    <w:rsid w:val="00395847"/>
    <w:rPr>
      <w:sz w:val="20"/>
      <w:szCs w:val="20"/>
    </w:rPr>
  </w:style>
  <w:style w:type="paragraph" w:styleId="CommentSubject">
    <w:name w:val="annotation subject"/>
    <w:basedOn w:val="CommentText"/>
    <w:next w:val="CommentText"/>
    <w:link w:val="CommentSubjectChar"/>
    <w:uiPriority w:val="99"/>
    <w:semiHidden/>
    <w:unhideWhenUsed/>
    <w:rsid w:val="00395847"/>
    <w:rPr>
      <w:b/>
      <w:bCs/>
    </w:rPr>
  </w:style>
  <w:style w:type="character" w:customStyle="1" w:styleId="CommentSubjectChar">
    <w:name w:val="Comment Subject Char"/>
    <w:basedOn w:val="CommentTextChar"/>
    <w:link w:val="CommentSubject"/>
    <w:uiPriority w:val="99"/>
    <w:semiHidden/>
    <w:rsid w:val="00395847"/>
    <w:rPr>
      <w:b/>
      <w:bCs/>
    </w:rPr>
  </w:style>
  <w:style w:type="paragraph" w:styleId="BalloonText">
    <w:name w:val="Balloon Text"/>
    <w:basedOn w:val="Normal"/>
    <w:link w:val="BalloonTextChar"/>
    <w:uiPriority w:val="99"/>
    <w:semiHidden/>
    <w:unhideWhenUsed/>
    <w:rsid w:val="00395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847"/>
    <w:rPr>
      <w:rFonts w:ascii="Tahoma" w:hAnsi="Tahoma" w:cs="Tahoma"/>
      <w:sz w:val="16"/>
      <w:szCs w:val="16"/>
    </w:rPr>
  </w:style>
  <w:style w:type="character" w:customStyle="1" w:styleId="Heading1Char">
    <w:name w:val="Heading 1 Char"/>
    <w:basedOn w:val="DefaultParagraphFont"/>
    <w:link w:val="Heading1"/>
    <w:uiPriority w:val="9"/>
    <w:rsid w:val="007B3361"/>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7B3361"/>
    <w:rPr>
      <w:rFonts w:asciiTheme="majorHAnsi" w:eastAsiaTheme="majorEastAsia" w:hAnsiTheme="majorHAnsi" w:cstheme="majorBidi"/>
      <w:b/>
      <w:bCs/>
      <w:color w:val="0F6FC6" w:themeColor="accent1"/>
      <w:sz w:val="26"/>
      <w:szCs w:val="26"/>
    </w:rPr>
  </w:style>
  <w:style w:type="character" w:customStyle="1" w:styleId="MiradiObj">
    <w:name w:val="Miradi: Obj"/>
    <w:uiPriority w:val="99"/>
    <w:rsid w:val="006D4FB6"/>
    <w:rPr>
      <w:rFonts w:ascii="Arial" w:hAnsi="Arial" w:cs="Arial"/>
      <w:b/>
      <w:bCs/>
      <w:sz w:val="20"/>
      <w:szCs w:val="20"/>
    </w:rPr>
  </w:style>
  <w:style w:type="character" w:customStyle="1" w:styleId="MiradiColHdr">
    <w:name w:val="Miradi: Col Hdr"/>
    <w:uiPriority w:val="99"/>
    <w:rsid w:val="006D4FB6"/>
    <w:rPr>
      <w:rFonts w:ascii="Arial" w:hAnsi="Arial" w:cs="Arial"/>
      <w:b/>
      <w:bCs/>
    </w:rPr>
  </w:style>
  <w:style w:type="character" w:customStyle="1" w:styleId="MiradiIR">
    <w:name w:val="Miradi: IR"/>
    <w:uiPriority w:val="99"/>
    <w:rsid w:val="006D4FB6"/>
    <w:rPr>
      <w:rFonts w:ascii="Arial" w:hAnsi="Arial" w:cs="Arial"/>
      <w:b/>
      <w:bCs/>
      <w:sz w:val="20"/>
      <w:szCs w:val="20"/>
    </w:rPr>
  </w:style>
  <w:style w:type="character" w:customStyle="1" w:styleId="Heading3Char">
    <w:name w:val="Heading 3 Char"/>
    <w:basedOn w:val="DefaultParagraphFont"/>
    <w:link w:val="Heading3"/>
    <w:uiPriority w:val="9"/>
    <w:rsid w:val="00F060CA"/>
    <w:rPr>
      <w:rFonts w:asciiTheme="majorHAnsi" w:eastAsiaTheme="majorEastAsia" w:hAnsiTheme="majorHAnsi" w:cstheme="majorBidi"/>
      <w:b/>
      <w:bCs/>
      <w:color w:val="0F6FC6" w:themeColor="accent1"/>
    </w:rPr>
  </w:style>
  <w:style w:type="paragraph" w:styleId="Header">
    <w:name w:val="header"/>
    <w:basedOn w:val="Normal"/>
    <w:link w:val="HeaderChar"/>
    <w:uiPriority w:val="99"/>
    <w:semiHidden/>
    <w:unhideWhenUsed/>
    <w:rsid w:val="00E91E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1E95"/>
  </w:style>
  <w:style w:type="paragraph" w:styleId="Footer">
    <w:name w:val="footer"/>
    <w:basedOn w:val="Normal"/>
    <w:link w:val="FooterChar"/>
    <w:uiPriority w:val="99"/>
    <w:unhideWhenUsed/>
    <w:rsid w:val="00E9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E95"/>
  </w:style>
  <w:style w:type="paragraph" w:styleId="EndnoteText">
    <w:name w:val="endnote text"/>
    <w:basedOn w:val="Normal"/>
    <w:link w:val="EndnoteTextChar"/>
    <w:uiPriority w:val="99"/>
    <w:semiHidden/>
    <w:unhideWhenUsed/>
    <w:rsid w:val="001950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5039"/>
    <w:rPr>
      <w:sz w:val="20"/>
      <w:szCs w:val="20"/>
    </w:rPr>
  </w:style>
  <w:style w:type="character" w:styleId="EndnoteReference">
    <w:name w:val="endnote reference"/>
    <w:basedOn w:val="DefaultParagraphFont"/>
    <w:uiPriority w:val="99"/>
    <w:semiHidden/>
    <w:unhideWhenUsed/>
    <w:rsid w:val="00195039"/>
    <w:rPr>
      <w:vertAlign w:val="superscript"/>
    </w:rPr>
  </w:style>
  <w:style w:type="paragraph" w:styleId="FootnoteText">
    <w:name w:val="footnote text"/>
    <w:basedOn w:val="Normal"/>
    <w:link w:val="FootnoteTextChar"/>
    <w:uiPriority w:val="99"/>
    <w:semiHidden/>
    <w:unhideWhenUsed/>
    <w:rsid w:val="004D0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557"/>
    <w:rPr>
      <w:sz w:val="20"/>
      <w:szCs w:val="20"/>
    </w:rPr>
  </w:style>
  <w:style w:type="character" w:styleId="FootnoteReference">
    <w:name w:val="footnote reference"/>
    <w:basedOn w:val="DefaultParagraphFont"/>
    <w:uiPriority w:val="99"/>
    <w:semiHidden/>
    <w:unhideWhenUsed/>
    <w:rsid w:val="004D0557"/>
    <w:rPr>
      <w:vertAlign w:val="superscript"/>
    </w:rPr>
  </w:style>
  <w:style w:type="paragraph" w:styleId="TOCHeading">
    <w:name w:val="TOC Heading"/>
    <w:basedOn w:val="Heading1"/>
    <w:next w:val="Normal"/>
    <w:uiPriority w:val="39"/>
    <w:semiHidden/>
    <w:unhideWhenUsed/>
    <w:qFormat/>
    <w:rsid w:val="0009007D"/>
    <w:pPr>
      <w:outlineLvl w:val="9"/>
    </w:pPr>
  </w:style>
  <w:style w:type="paragraph" w:styleId="TOC1">
    <w:name w:val="toc 1"/>
    <w:basedOn w:val="Normal"/>
    <w:next w:val="Normal"/>
    <w:autoRedefine/>
    <w:uiPriority w:val="39"/>
    <w:unhideWhenUsed/>
    <w:rsid w:val="0009007D"/>
    <w:pPr>
      <w:spacing w:after="100"/>
    </w:pPr>
  </w:style>
  <w:style w:type="paragraph" w:styleId="TOC2">
    <w:name w:val="toc 2"/>
    <w:basedOn w:val="Normal"/>
    <w:next w:val="Normal"/>
    <w:autoRedefine/>
    <w:uiPriority w:val="39"/>
    <w:unhideWhenUsed/>
    <w:rsid w:val="0009007D"/>
    <w:pPr>
      <w:spacing w:after="100"/>
      <w:ind w:left="220"/>
    </w:pPr>
  </w:style>
  <w:style w:type="character" w:styleId="Hyperlink">
    <w:name w:val="Hyperlink"/>
    <w:basedOn w:val="DefaultParagraphFont"/>
    <w:uiPriority w:val="99"/>
    <w:unhideWhenUsed/>
    <w:rsid w:val="0009007D"/>
    <w:rPr>
      <w:color w:val="E2D700" w:themeColor="hyperlink"/>
      <w:u w:val="single"/>
    </w:rPr>
  </w:style>
  <w:style w:type="paragraph" w:styleId="PlainText">
    <w:name w:val="Plain Text"/>
    <w:basedOn w:val="Normal"/>
    <w:link w:val="PlainTextChar"/>
    <w:uiPriority w:val="99"/>
    <w:unhideWhenUsed/>
    <w:rsid w:val="00196A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96A0C"/>
    <w:rPr>
      <w:rFonts w:ascii="Consolas" w:hAnsi="Consolas"/>
      <w:sz w:val="21"/>
      <w:szCs w:val="21"/>
    </w:rPr>
  </w:style>
  <w:style w:type="paragraph" w:styleId="TOC3">
    <w:name w:val="toc 3"/>
    <w:basedOn w:val="Normal"/>
    <w:next w:val="Normal"/>
    <w:autoRedefine/>
    <w:uiPriority w:val="39"/>
    <w:unhideWhenUsed/>
    <w:rsid w:val="00F11F4B"/>
    <w:pPr>
      <w:spacing w:after="100"/>
      <w:ind w:left="440"/>
    </w:pPr>
  </w:style>
</w:styles>
</file>

<file path=word/webSettings.xml><?xml version="1.0" encoding="utf-8"?>
<w:webSettings xmlns:r="http://schemas.openxmlformats.org/officeDocument/2006/relationships" xmlns:w="http://schemas.openxmlformats.org/wordprocessingml/2006/main">
  <w:divs>
    <w:div w:id="86736053">
      <w:bodyDiv w:val="1"/>
      <w:marLeft w:val="0"/>
      <w:marRight w:val="0"/>
      <w:marTop w:val="0"/>
      <w:marBottom w:val="0"/>
      <w:divBdr>
        <w:top w:val="none" w:sz="0" w:space="0" w:color="auto"/>
        <w:left w:val="none" w:sz="0" w:space="0" w:color="auto"/>
        <w:bottom w:val="none" w:sz="0" w:space="0" w:color="auto"/>
        <w:right w:val="none" w:sz="0" w:space="0" w:color="auto"/>
      </w:divBdr>
    </w:div>
    <w:div w:id="510922858">
      <w:bodyDiv w:val="1"/>
      <w:marLeft w:val="0"/>
      <w:marRight w:val="0"/>
      <w:marTop w:val="0"/>
      <w:marBottom w:val="0"/>
      <w:divBdr>
        <w:top w:val="none" w:sz="0" w:space="0" w:color="auto"/>
        <w:left w:val="none" w:sz="0" w:space="0" w:color="auto"/>
        <w:bottom w:val="none" w:sz="0" w:space="0" w:color="auto"/>
        <w:right w:val="none" w:sz="0" w:space="0" w:color="auto"/>
      </w:divBdr>
    </w:div>
    <w:div w:id="539049122">
      <w:bodyDiv w:val="1"/>
      <w:marLeft w:val="0"/>
      <w:marRight w:val="0"/>
      <w:marTop w:val="0"/>
      <w:marBottom w:val="0"/>
      <w:divBdr>
        <w:top w:val="none" w:sz="0" w:space="0" w:color="auto"/>
        <w:left w:val="none" w:sz="0" w:space="0" w:color="auto"/>
        <w:bottom w:val="none" w:sz="0" w:space="0" w:color="auto"/>
        <w:right w:val="none" w:sz="0" w:space="0" w:color="auto"/>
      </w:divBdr>
    </w:div>
    <w:div w:id="612439054">
      <w:bodyDiv w:val="1"/>
      <w:marLeft w:val="0"/>
      <w:marRight w:val="0"/>
      <w:marTop w:val="0"/>
      <w:marBottom w:val="0"/>
      <w:divBdr>
        <w:top w:val="none" w:sz="0" w:space="0" w:color="auto"/>
        <w:left w:val="none" w:sz="0" w:space="0" w:color="auto"/>
        <w:bottom w:val="none" w:sz="0" w:space="0" w:color="auto"/>
        <w:right w:val="none" w:sz="0" w:space="0" w:color="auto"/>
      </w:divBdr>
    </w:div>
    <w:div w:id="652639380">
      <w:bodyDiv w:val="1"/>
      <w:marLeft w:val="0"/>
      <w:marRight w:val="0"/>
      <w:marTop w:val="0"/>
      <w:marBottom w:val="0"/>
      <w:divBdr>
        <w:top w:val="none" w:sz="0" w:space="0" w:color="auto"/>
        <w:left w:val="none" w:sz="0" w:space="0" w:color="auto"/>
        <w:bottom w:val="none" w:sz="0" w:space="0" w:color="auto"/>
        <w:right w:val="none" w:sz="0" w:space="0" w:color="auto"/>
      </w:divBdr>
    </w:div>
    <w:div w:id="980381868">
      <w:bodyDiv w:val="1"/>
      <w:marLeft w:val="0"/>
      <w:marRight w:val="0"/>
      <w:marTop w:val="0"/>
      <w:marBottom w:val="0"/>
      <w:divBdr>
        <w:top w:val="none" w:sz="0" w:space="0" w:color="auto"/>
        <w:left w:val="none" w:sz="0" w:space="0" w:color="auto"/>
        <w:bottom w:val="none" w:sz="0" w:space="0" w:color="auto"/>
        <w:right w:val="none" w:sz="0" w:space="0" w:color="auto"/>
      </w:divBdr>
    </w:div>
    <w:div w:id="1150710826">
      <w:bodyDiv w:val="1"/>
      <w:marLeft w:val="0"/>
      <w:marRight w:val="0"/>
      <w:marTop w:val="0"/>
      <w:marBottom w:val="0"/>
      <w:divBdr>
        <w:top w:val="none" w:sz="0" w:space="0" w:color="auto"/>
        <w:left w:val="none" w:sz="0" w:space="0" w:color="auto"/>
        <w:bottom w:val="none" w:sz="0" w:space="0" w:color="auto"/>
        <w:right w:val="none" w:sz="0" w:space="0" w:color="auto"/>
      </w:divBdr>
    </w:div>
    <w:div w:id="1181621908">
      <w:bodyDiv w:val="1"/>
      <w:marLeft w:val="0"/>
      <w:marRight w:val="0"/>
      <w:marTop w:val="0"/>
      <w:marBottom w:val="0"/>
      <w:divBdr>
        <w:top w:val="none" w:sz="0" w:space="0" w:color="auto"/>
        <w:left w:val="none" w:sz="0" w:space="0" w:color="auto"/>
        <w:bottom w:val="none" w:sz="0" w:space="0" w:color="auto"/>
        <w:right w:val="none" w:sz="0" w:space="0" w:color="auto"/>
      </w:divBdr>
    </w:div>
    <w:div w:id="1195388810">
      <w:bodyDiv w:val="1"/>
      <w:marLeft w:val="0"/>
      <w:marRight w:val="0"/>
      <w:marTop w:val="0"/>
      <w:marBottom w:val="0"/>
      <w:divBdr>
        <w:top w:val="none" w:sz="0" w:space="0" w:color="auto"/>
        <w:left w:val="none" w:sz="0" w:space="0" w:color="auto"/>
        <w:bottom w:val="none" w:sz="0" w:space="0" w:color="auto"/>
        <w:right w:val="none" w:sz="0" w:space="0" w:color="auto"/>
      </w:divBdr>
      <w:divsChild>
        <w:div w:id="808591748">
          <w:marLeft w:val="720"/>
          <w:marRight w:val="0"/>
          <w:marTop w:val="115"/>
          <w:marBottom w:val="0"/>
          <w:divBdr>
            <w:top w:val="none" w:sz="0" w:space="0" w:color="auto"/>
            <w:left w:val="none" w:sz="0" w:space="0" w:color="auto"/>
            <w:bottom w:val="none" w:sz="0" w:space="0" w:color="auto"/>
            <w:right w:val="none" w:sz="0" w:space="0" w:color="auto"/>
          </w:divBdr>
        </w:div>
        <w:div w:id="1622110324">
          <w:marLeft w:val="720"/>
          <w:marRight w:val="0"/>
          <w:marTop w:val="115"/>
          <w:marBottom w:val="0"/>
          <w:divBdr>
            <w:top w:val="none" w:sz="0" w:space="0" w:color="auto"/>
            <w:left w:val="none" w:sz="0" w:space="0" w:color="auto"/>
            <w:bottom w:val="none" w:sz="0" w:space="0" w:color="auto"/>
            <w:right w:val="none" w:sz="0" w:space="0" w:color="auto"/>
          </w:divBdr>
        </w:div>
      </w:divsChild>
    </w:div>
    <w:div w:id="1638870818">
      <w:bodyDiv w:val="1"/>
      <w:marLeft w:val="0"/>
      <w:marRight w:val="0"/>
      <w:marTop w:val="0"/>
      <w:marBottom w:val="0"/>
      <w:divBdr>
        <w:top w:val="none" w:sz="0" w:space="0" w:color="auto"/>
        <w:left w:val="none" w:sz="0" w:space="0" w:color="auto"/>
        <w:bottom w:val="none" w:sz="0" w:space="0" w:color="auto"/>
        <w:right w:val="none" w:sz="0" w:space="0" w:color="auto"/>
      </w:divBdr>
    </w:div>
    <w:div w:id="1818913301">
      <w:bodyDiv w:val="1"/>
      <w:marLeft w:val="0"/>
      <w:marRight w:val="0"/>
      <w:marTop w:val="0"/>
      <w:marBottom w:val="0"/>
      <w:divBdr>
        <w:top w:val="none" w:sz="0" w:space="0" w:color="auto"/>
        <w:left w:val="none" w:sz="0" w:space="0" w:color="auto"/>
        <w:bottom w:val="none" w:sz="0" w:space="0" w:color="auto"/>
        <w:right w:val="none" w:sz="0" w:space="0" w:color="auto"/>
      </w:divBdr>
    </w:div>
    <w:div w:id="1842969939">
      <w:bodyDiv w:val="1"/>
      <w:marLeft w:val="0"/>
      <w:marRight w:val="0"/>
      <w:marTop w:val="0"/>
      <w:marBottom w:val="0"/>
      <w:divBdr>
        <w:top w:val="none" w:sz="0" w:space="0" w:color="auto"/>
        <w:left w:val="none" w:sz="0" w:space="0" w:color="auto"/>
        <w:bottom w:val="none" w:sz="0" w:space="0" w:color="auto"/>
        <w:right w:val="none" w:sz="0" w:space="0" w:color="auto"/>
      </w:divBdr>
    </w:div>
    <w:div w:id="1848982943">
      <w:bodyDiv w:val="1"/>
      <w:marLeft w:val="0"/>
      <w:marRight w:val="0"/>
      <w:marTop w:val="0"/>
      <w:marBottom w:val="0"/>
      <w:divBdr>
        <w:top w:val="none" w:sz="0" w:space="0" w:color="auto"/>
        <w:left w:val="none" w:sz="0" w:space="0" w:color="auto"/>
        <w:bottom w:val="none" w:sz="0" w:space="0" w:color="auto"/>
        <w:right w:val="none" w:sz="0" w:space="0" w:color="auto"/>
      </w:divBdr>
    </w:div>
    <w:div w:id="1918320039">
      <w:bodyDiv w:val="1"/>
      <w:marLeft w:val="0"/>
      <w:marRight w:val="0"/>
      <w:marTop w:val="0"/>
      <w:marBottom w:val="0"/>
      <w:divBdr>
        <w:top w:val="none" w:sz="0" w:space="0" w:color="auto"/>
        <w:left w:val="none" w:sz="0" w:space="0" w:color="auto"/>
        <w:bottom w:val="none" w:sz="0" w:space="0" w:color="auto"/>
        <w:right w:val="none" w:sz="0" w:space="0" w:color="auto"/>
      </w:divBdr>
    </w:div>
    <w:div w:id="1995985745">
      <w:bodyDiv w:val="1"/>
      <w:marLeft w:val="0"/>
      <w:marRight w:val="0"/>
      <w:marTop w:val="0"/>
      <w:marBottom w:val="0"/>
      <w:divBdr>
        <w:top w:val="none" w:sz="0" w:space="0" w:color="auto"/>
        <w:left w:val="none" w:sz="0" w:space="0" w:color="auto"/>
        <w:bottom w:val="none" w:sz="0" w:space="0" w:color="auto"/>
        <w:right w:val="none" w:sz="0" w:space="0" w:color="auto"/>
      </w:divBdr>
    </w:div>
    <w:div w:id="2027976427">
      <w:bodyDiv w:val="1"/>
      <w:marLeft w:val="0"/>
      <w:marRight w:val="0"/>
      <w:marTop w:val="0"/>
      <w:marBottom w:val="0"/>
      <w:divBdr>
        <w:top w:val="none" w:sz="0" w:space="0" w:color="auto"/>
        <w:left w:val="none" w:sz="0" w:space="0" w:color="auto"/>
        <w:bottom w:val="none" w:sz="0" w:space="0" w:color="auto"/>
        <w:right w:val="none" w:sz="0" w:space="0" w:color="auto"/>
      </w:divBdr>
    </w:div>
    <w:div w:id="2071683991">
      <w:bodyDiv w:val="1"/>
      <w:marLeft w:val="0"/>
      <w:marRight w:val="0"/>
      <w:marTop w:val="0"/>
      <w:marBottom w:val="0"/>
      <w:divBdr>
        <w:top w:val="none" w:sz="0" w:space="0" w:color="auto"/>
        <w:left w:val="none" w:sz="0" w:space="0" w:color="auto"/>
        <w:bottom w:val="none" w:sz="0" w:space="0" w:color="auto"/>
        <w:right w:val="none" w:sz="0" w:space="0" w:color="auto"/>
      </w:divBdr>
    </w:div>
    <w:div w:id="212969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cid:image003.png@01CC1C5B.72A995E0" TargetMode="External"/><Relationship Id="rId29" Type="http://schemas.openxmlformats.org/officeDocument/2006/relationships/customXml" Target="../customXml/item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customXml" Target="../customXml/item9.xml"/><Relationship Id="rId10" Type="http://schemas.openxmlformats.org/officeDocument/2006/relationships/styles" Target="styles.xml"/><Relationship Id="rId19" Type="http://schemas.openxmlformats.org/officeDocument/2006/relationships/image" Target="media/image6.gi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theme" Target="theme/theme1.xml"/><Relationship Id="rId30" Type="http://schemas.openxmlformats.org/officeDocument/2006/relationships/customXml" Target="../customXml/item1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gacyUrl xmlns="1b2dd0d4-b466-40bf-b695-49c174b4fa57">
      <Url>https://www.conservationgateway.org/sites/default/files/Measures%20Workshop%20-%20Caribbean%20Challenge%20-%20Product.docx</Url>
      <Description>http://www.conservationgateway.org/sites/default/files/Measures Workshop - Caribbean Challenge - Product.docx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033A8-6EC7-4550-B708-A7FF0953E600}"/>
</file>

<file path=customXml/itemProps10.xml><?xml version="1.0" encoding="utf-8"?>
<ds:datastoreItem xmlns:ds="http://schemas.openxmlformats.org/officeDocument/2006/customXml" ds:itemID="{C892B30A-8DE0-4389-BE2D-DB98ED9C3A79}"/>
</file>

<file path=customXml/itemProps11.xml><?xml version="1.0" encoding="utf-8"?>
<ds:datastoreItem xmlns:ds="http://schemas.openxmlformats.org/officeDocument/2006/customXml" ds:itemID="{F4C34820-E32E-4244-93EF-C6F85E2011B1}"/>
</file>

<file path=customXml/itemProps2.xml><?xml version="1.0" encoding="utf-8"?>
<ds:datastoreItem xmlns:ds="http://schemas.openxmlformats.org/officeDocument/2006/customXml" ds:itemID="{FA070845-2297-4BF5-8792-D44C629A064E}"/>
</file>

<file path=customXml/itemProps3.xml><?xml version="1.0" encoding="utf-8"?>
<ds:datastoreItem xmlns:ds="http://schemas.openxmlformats.org/officeDocument/2006/customXml" ds:itemID="{09CE2AC4-3B84-467C-BB77-06E0C1301FA7}"/>
</file>

<file path=customXml/itemProps4.xml><?xml version="1.0" encoding="utf-8"?>
<ds:datastoreItem xmlns:ds="http://schemas.openxmlformats.org/officeDocument/2006/customXml" ds:itemID="{381E94BB-5FBB-453E-A92A-D4BF1F672B5A}"/>
</file>

<file path=customXml/itemProps5.xml><?xml version="1.0" encoding="utf-8"?>
<ds:datastoreItem xmlns:ds="http://schemas.openxmlformats.org/officeDocument/2006/customXml" ds:itemID="{2A202648-AC08-4D6D-87BD-05F16DEAE20E}"/>
</file>

<file path=customXml/itemProps6.xml><?xml version="1.0" encoding="utf-8"?>
<ds:datastoreItem xmlns:ds="http://schemas.openxmlformats.org/officeDocument/2006/customXml" ds:itemID="{5D4669EE-24E8-4F76-8FA5-A50F307D6FA4}"/>
</file>

<file path=customXml/itemProps7.xml><?xml version="1.0" encoding="utf-8"?>
<ds:datastoreItem xmlns:ds="http://schemas.openxmlformats.org/officeDocument/2006/customXml" ds:itemID="{1ED5D80D-FC44-424B-AB63-B2872F700865}"/>
</file>

<file path=customXml/itemProps8.xml><?xml version="1.0" encoding="utf-8"?>
<ds:datastoreItem xmlns:ds="http://schemas.openxmlformats.org/officeDocument/2006/customXml" ds:itemID="{61C1AB55-95FA-4042-B037-38C71959880C}"/>
</file>

<file path=customXml/itemProps9.xml><?xml version="1.0" encoding="utf-8"?>
<ds:datastoreItem xmlns:ds="http://schemas.openxmlformats.org/officeDocument/2006/customXml" ds:itemID="{73115583-0860-464A-996C-8BDEEA019372}"/>
</file>

<file path=docProps/app.xml><?xml version="1.0" encoding="utf-8"?>
<Properties xmlns="http://schemas.openxmlformats.org/officeDocument/2006/extended-properties" xmlns:vt="http://schemas.openxmlformats.org/officeDocument/2006/docPropsVTypes">
  <Template>Normal</Template>
  <TotalTime>6709</TotalTime>
  <Pages>41</Pages>
  <Words>9542</Words>
  <Characters>54396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Workshop - Caribbean Challenge - Product</dc:title>
  <dc:subject/>
  <dc:creator>Kimberly John</dc:creator>
  <cp:keywords/>
  <dc:description/>
  <cp:lastModifiedBy>Kimberly John</cp:lastModifiedBy>
  <cp:revision>23</cp:revision>
  <cp:lastPrinted>2011-06-01T19:32:00Z</cp:lastPrinted>
  <dcterms:created xsi:type="dcterms:W3CDTF">2011-05-17T16:54:00Z</dcterms:created>
  <dcterms:modified xsi:type="dcterms:W3CDTF">2011-06-07T19:13:00Z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92500</vt:r8>
  </property>
</Properties>
</file>