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1F" w:rsidRDefault="00DF041F" w:rsidP="008D3F22">
      <w:pPr>
        <w:spacing w:after="0" w:line="240" w:lineRule="auto"/>
        <w:contextualSpacing/>
        <w:jc w:val="center"/>
        <w:rPr>
          <w:b/>
        </w:rPr>
      </w:pPr>
      <w:bookmarkStart w:id="0" w:name="_GoBack"/>
      <w:bookmarkEnd w:id="0"/>
      <w:r w:rsidRPr="00C00167">
        <w:rPr>
          <w:b/>
        </w:rPr>
        <w:t>Mapping Ocean Wealth – Infographic Series</w:t>
      </w:r>
    </w:p>
    <w:p w:rsidR="00DF041F" w:rsidRDefault="00647717" w:rsidP="008D3F22">
      <w:pPr>
        <w:spacing w:after="0" w:line="240" w:lineRule="auto"/>
        <w:contextualSpacing/>
        <w:jc w:val="center"/>
      </w:pPr>
      <w:r>
        <w:t>Science behind the infographics</w:t>
      </w:r>
    </w:p>
    <w:p w:rsidR="00DF041F" w:rsidRPr="00C00167" w:rsidRDefault="00DF041F" w:rsidP="002573FC">
      <w:pPr>
        <w:spacing w:after="0" w:line="240" w:lineRule="auto"/>
        <w:contextualSpacing/>
        <w:rPr>
          <w:b/>
        </w:rPr>
      </w:pPr>
    </w:p>
    <w:p w:rsidR="00DF041F" w:rsidRPr="00C00167" w:rsidRDefault="00DF041F" w:rsidP="008D3F22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b/>
        </w:rPr>
      </w:pPr>
      <w:r w:rsidRPr="00C00167">
        <w:rPr>
          <w:rFonts w:cs="Times New Roman"/>
          <w:b/>
        </w:rPr>
        <w:t>Natural barriers save money and reduce impacts of storms, erosion and flooding</w:t>
      </w:r>
    </w:p>
    <w:p w:rsidR="00DF041F" w:rsidRPr="00C00167" w:rsidRDefault="00DF041F" w:rsidP="008D3F22">
      <w:pPr>
        <w:spacing w:after="0" w:line="240" w:lineRule="auto"/>
        <w:rPr>
          <w:rFonts w:cs="Times New Roman"/>
        </w:rPr>
      </w:pPr>
    </w:p>
    <w:p w:rsidR="00DF041F" w:rsidRPr="00C00167" w:rsidRDefault="00DF041F" w:rsidP="00647717">
      <w:pPr>
        <w:pStyle w:val="ListParagraph"/>
        <w:numPr>
          <w:ilvl w:val="0"/>
          <w:numId w:val="18"/>
        </w:numPr>
        <w:spacing w:after="0" w:line="240" w:lineRule="auto"/>
      </w:pPr>
      <w:r w:rsidRPr="00B5139D">
        <w:rPr>
          <w:bCs/>
        </w:rPr>
        <w:t>Coral reefs are the first line of defense for nearly 63 million people globally: unpublished data based on the total number of likely receiving some level of protection due to their close proximity (&lt;3km) from fringing or near-continuous offshore barrier reefs, and who live within 4km from the shore and &lt;10m elevation</w:t>
      </w:r>
    </w:p>
    <w:p w:rsidR="00DF041F" w:rsidRPr="00B5139D" w:rsidRDefault="00DF041F" w:rsidP="00647717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B5139D">
        <w:rPr>
          <w:rFonts w:cs="Times New Roman"/>
        </w:rPr>
        <w:t xml:space="preserve">Coral Reefs – on average, reduce 97% of wave energy </w:t>
      </w:r>
      <w:r w:rsidRPr="00B5139D">
        <w:rPr>
          <w:rFonts w:cs="Times New Roman"/>
          <w:noProof/>
        </w:rPr>
        <w:t>(Ferrario</w:t>
      </w:r>
      <w:r w:rsidRPr="00B5139D">
        <w:rPr>
          <w:rFonts w:cs="Times New Roman"/>
          <w:i/>
          <w:noProof/>
        </w:rPr>
        <w:t xml:space="preserve"> et al.</w:t>
      </w:r>
      <w:r w:rsidRPr="00B5139D">
        <w:rPr>
          <w:rFonts w:cs="Times New Roman"/>
          <w:noProof/>
        </w:rPr>
        <w:t xml:space="preserve"> 2014)</w:t>
      </w:r>
    </w:p>
    <w:p w:rsidR="00DF041F" w:rsidRPr="00B5139D" w:rsidRDefault="00DF041F" w:rsidP="00647717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B5139D">
        <w:rPr>
          <w:rFonts w:cs="Times New Roman"/>
        </w:rPr>
        <w:t xml:space="preserve">Mangroves - regularly reduce up to 66% of wave height </w:t>
      </w:r>
      <w:r w:rsidRPr="00B5139D">
        <w:rPr>
          <w:rFonts w:cs="Times New Roman"/>
          <w:noProof/>
        </w:rPr>
        <w:t>(McIvor et al. 2012)</w:t>
      </w:r>
    </w:p>
    <w:p w:rsidR="00DF041F" w:rsidRPr="00DF041F" w:rsidRDefault="00DF041F" w:rsidP="00647717">
      <w:pPr>
        <w:pStyle w:val="ListParagraph"/>
        <w:numPr>
          <w:ilvl w:val="0"/>
          <w:numId w:val="18"/>
        </w:numPr>
        <w:rPr>
          <w:rFonts w:cs="Times New Roman"/>
        </w:rPr>
      </w:pPr>
      <w:r w:rsidRPr="00DF041F">
        <w:rPr>
          <w:rFonts w:cs="Times New Roman"/>
        </w:rPr>
        <w:t>Oysters – where used in place of artificial breakwaters, oyster habitat can be worth up to $85,000 per hectare per year, with combined values for multiple services including non-oyster fisheries enhancement and water quality improvement creating combined values of between $5500 and $99,000 per hectare per year. These figures have been used to show that reefs recover their median restoration costs in 2-14 years (Grabowski et al. 2012)</w:t>
      </w:r>
    </w:p>
    <w:p w:rsidR="00DF041F" w:rsidRPr="00DF041F" w:rsidRDefault="00DF041F" w:rsidP="00B87805">
      <w:pPr>
        <w:pStyle w:val="ListParagraph"/>
        <w:spacing w:after="0" w:line="240" w:lineRule="auto"/>
        <w:rPr>
          <w:rFonts w:cs="Times New Roman"/>
        </w:rPr>
      </w:pPr>
      <w:r w:rsidRPr="00DF041F">
        <w:rPr>
          <w:rFonts w:cs="Times New Roman"/>
        </w:rPr>
        <w:t xml:space="preserve"> </w:t>
      </w:r>
    </w:p>
    <w:p w:rsidR="00DF041F" w:rsidRPr="00C00167" w:rsidRDefault="00DF041F" w:rsidP="008D3F22">
      <w:pPr>
        <w:spacing w:after="0" w:line="240" w:lineRule="auto"/>
        <w:rPr>
          <w:rFonts w:cs="Times New Roman"/>
        </w:rPr>
      </w:pPr>
    </w:p>
    <w:p w:rsidR="00DF041F" w:rsidRPr="00C00167" w:rsidRDefault="00DF041F" w:rsidP="00132CFF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b/>
        </w:rPr>
      </w:pPr>
      <w:r w:rsidRPr="00C00167">
        <w:rPr>
          <w:rFonts w:cs="Times New Roman"/>
          <w:b/>
        </w:rPr>
        <w:t xml:space="preserve">Protecting fish habitat supports livelihoods, economies and food security </w:t>
      </w:r>
    </w:p>
    <w:p w:rsidR="00DF041F" w:rsidRPr="00C00167" w:rsidRDefault="00DF041F" w:rsidP="00321B4B">
      <w:pPr>
        <w:spacing w:after="0" w:line="240" w:lineRule="auto"/>
        <w:ind w:left="360"/>
        <w:rPr>
          <w:rFonts w:cs="Times New Roman"/>
        </w:rPr>
      </w:pPr>
    </w:p>
    <w:p w:rsidR="00DF041F" w:rsidRPr="00F70918" w:rsidRDefault="00DF041F" w:rsidP="00647717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</w:rPr>
      </w:pPr>
      <w:r w:rsidRPr="00F70918">
        <w:rPr>
          <w:rFonts w:cs="Times New Roman"/>
        </w:rPr>
        <w:t>The</w:t>
      </w:r>
      <w:r w:rsidRPr="00F70918">
        <w:rPr>
          <w:shd w:val="clear" w:color="auto" w:fill="FFFFFF"/>
        </w:rPr>
        <w:t xml:space="preserve"> $190 billion global seafood industry: </w:t>
      </w:r>
      <w:hyperlink r:id="rId6" w:history="1">
        <w:r w:rsidRPr="00F70918">
          <w:rPr>
            <w:rStyle w:val="Hyperlink"/>
            <w:shd w:val="clear" w:color="auto" w:fill="FFFFFF"/>
          </w:rPr>
          <w:t>http://www.nature.org/ourinitiatives/habitats/oceanscoasts/howwework/marine-conservation-inspiring-stories-sustainable-fisheries-1.xml</w:t>
        </w:r>
      </w:hyperlink>
      <w:r w:rsidRPr="00F70918">
        <w:rPr>
          <w:shd w:val="clear" w:color="auto" w:fill="FFFFFF"/>
        </w:rPr>
        <w:t xml:space="preserve"> </w:t>
      </w:r>
    </w:p>
    <w:p w:rsidR="00DF041F" w:rsidRPr="00F70918" w:rsidRDefault="00DF041F" w:rsidP="00647717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</w:rPr>
      </w:pPr>
      <w:r w:rsidRPr="00F70918">
        <w:rPr>
          <w:rFonts w:cs="Times New Roman"/>
        </w:rPr>
        <w:t>Worldwide 210 million people live in low-lying areas within 10km of mangroves</w:t>
      </w:r>
      <w:r>
        <w:rPr>
          <w:rFonts w:cs="Times New Roman"/>
        </w:rPr>
        <w:t>: unpublished TNC data calculated from global mangrove and population maps</w:t>
      </w:r>
    </w:p>
    <w:p w:rsidR="00DF041F" w:rsidRPr="00C00167" w:rsidRDefault="00DF041F" w:rsidP="00647717">
      <w:pPr>
        <w:numPr>
          <w:ilvl w:val="0"/>
          <w:numId w:val="19"/>
        </w:numPr>
        <w:spacing w:after="0" w:line="240" w:lineRule="auto"/>
        <w:rPr>
          <w:rFonts w:cs="Times New Roman"/>
        </w:rPr>
      </w:pPr>
      <w:r w:rsidRPr="00C00167">
        <w:rPr>
          <w:rFonts w:cs="Times New Roman"/>
        </w:rPr>
        <w:t xml:space="preserve">Seagrass – a single </w:t>
      </w:r>
      <w:r>
        <w:rPr>
          <w:rFonts w:cs="Times New Roman"/>
        </w:rPr>
        <w:t xml:space="preserve">hectare </w:t>
      </w:r>
      <w:r w:rsidRPr="00C00167">
        <w:rPr>
          <w:rFonts w:cs="Times New Roman"/>
        </w:rPr>
        <w:t xml:space="preserve">of seagrass in Australian Bays </w:t>
      </w:r>
      <w:r>
        <w:rPr>
          <w:rFonts w:cs="Times New Roman"/>
        </w:rPr>
        <w:t xml:space="preserve">produces an extra </w:t>
      </w:r>
      <w:r w:rsidRPr="00C00167">
        <w:rPr>
          <w:rFonts w:cs="Times New Roman"/>
        </w:rPr>
        <w:t>$</w:t>
      </w:r>
      <w:r>
        <w:rPr>
          <w:rFonts w:cs="Times New Roman"/>
        </w:rPr>
        <w:t>24,00</w:t>
      </w:r>
      <w:r w:rsidRPr="00C00167">
        <w:rPr>
          <w:rFonts w:cs="Times New Roman"/>
        </w:rPr>
        <w:t xml:space="preserve">USD </w:t>
      </w:r>
      <w:r>
        <w:rPr>
          <w:rFonts w:cs="Times New Roman"/>
        </w:rPr>
        <w:t xml:space="preserve">of </w:t>
      </w:r>
      <w:r w:rsidRPr="00C00167">
        <w:rPr>
          <w:rFonts w:cs="Times New Roman"/>
        </w:rPr>
        <w:t>commercially important fish per year</w:t>
      </w:r>
      <w:r>
        <w:rPr>
          <w:rFonts w:cs="Times New Roman"/>
        </w:rPr>
        <w:t xml:space="preserve"> compared to the bare seabed</w:t>
      </w:r>
      <w:r w:rsidRPr="00C00167">
        <w:rPr>
          <w:rFonts w:cs="Times New Roman"/>
        </w:rPr>
        <w:t>.</w:t>
      </w:r>
      <w:r>
        <w:rPr>
          <w:rFonts w:cs="Times New Roman"/>
        </w:rPr>
        <w:t xml:space="preserve"> Based on </w:t>
      </w:r>
      <w:r w:rsidRPr="00F70918">
        <w:rPr>
          <w:rFonts w:cs="Times New Roman"/>
        </w:rPr>
        <w:t>~$A31,650</w:t>
      </w:r>
      <w:r>
        <w:rPr>
          <w:rFonts w:cs="Times New Roman"/>
        </w:rPr>
        <w:t xml:space="preserve"> </w:t>
      </w:r>
      <w:r>
        <w:rPr>
          <w:rFonts w:cs="Times New Roman"/>
          <w:noProof/>
        </w:rPr>
        <w:t>(Blandon and Zu Ermgassen 2014)</w:t>
      </w:r>
      <w:r w:rsidRPr="00F70918">
        <w:rPr>
          <w:rFonts w:cs="Times New Roman"/>
        </w:rPr>
        <w:t>.</w:t>
      </w:r>
    </w:p>
    <w:p w:rsidR="00DF041F" w:rsidRDefault="00DF041F" w:rsidP="00647717">
      <w:pPr>
        <w:numPr>
          <w:ilvl w:val="0"/>
          <w:numId w:val="19"/>
        </w:numPr>
        <w:spacing w:after="0" w:line="240" w:lineRule="auto"/>
        <w:rPr>
          <w:rFonts w:cs="Times New Roman"/>
        </w:rPr>
      </w:pPr>
      <w:r w:rsidRPr="00C00167">
        <w:rPr>
          <w:rFonts w:cs="Times New Roman"/>
        </w:rPr>
        <w:t xml:space="preserve">Oysters – </w:t>
      </w:r>
      <w:r>
        <w:rPr>
          <w:rFonts w:cs="Times New Roman"/>
        </w:rPr>
        <w:t xml:space="preserve">$4,000 per hectare in commercial fish production </w:t>
      </w:r>
      <w:r>
        <w:rPr>
          <w:rFonts w:cs="Times New Roman"/>
          <w:noProof/>
        </w:rPr>
        <w:t>(Grabowski</w:t>
      </w:r>
      <w:r w:rsidRPr="00F70918">
        <w:rPr>
          <w:rFonts w:cs="Times New Roman"/>
          <w:i/>
          <w:noProof/>
        </w:rPr>
        <w:t xml:space="preserve"> et al.</w:t>
      </w:r>
      <w:r>
        <w:rPr>
          <w:rFonts w:cs="Times New Roman"/>
          <w:noProof/>
        </w:rPr>
        <w:t xml:space="preserve"> 2012)</w:t>
      </w:r>
    </w:p>
    <w:p w:rsidR="00DF041F" w:rsidRDefault="00DF041F" w:rsidP="00647717">
      <w:pPr>
        <w:numPr>
          <w:ilvl w:val="0"/>
          <w:numId w:val="19"/>
        </w:numPr>
        <w:spacing w:after="0" w:line="240" w:lineRule="auto"/>
        <w:rPr>
          <w:rFonts w:cs="Times New Roman"/>
        </w:rPr>
      </w:pPr>
      <w:r w:rsidRPr="00C00167">
        <w:rPr>
          <w:rFonts w:cs="Times New Roman"/>
        </w:rPr>
        <w:t xml:space="preserve">Coral Reefs – </w:t>
      </w:r>
      <w:r>
        <w:rPr>
          <w:rFonts w:cs="Times New Roman"/>
        </w:rPr>
        <w:t>healthy, well-managed reefs in the Indian and Pacific Oceans can generate 5 to 10 tonnes of fish per year in perpetuity. TNC summary statistic from a review of ~80 publications</w:t>
      </w:r>
    </w:p>
    <w:p w:rsidR="00DF041F" w:rsidRPr="00E50E4E" w:rsidRDefault="00DF041F" w:rsidP="00E50E4E">
      <w:pPr>
        <w:spacing w:after="0" w:line="240" w:lineRule="auto"/>
        <w:rPr>
          <w:rFonts w:cs="Times New Roman"/>
        </w:rPr>
      </w:pPr>
    </w:p>
    <w:p w:rsidR="00DF041F" w:rsidRPr="00C00167" w:rsidRDefault="00DF041F" w:rsidP="00B83C8C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b/>
        </w:rPr>
      </w:pPr>
      <w:r w:rsidRPr="00C00167">
        <w:rPr>
          <w:rFonts w:cs="Times New Roman"/>
          <w:b/>
        </w:rPr>
        <w:t>Scuba diving, fishing and other tourism drives coastal economies</w:t>
      </w:r>
    </w:p>
    <w:p w:rsidR="00DF041F" w:rsidRPr="00C00167" w:rsidRDefault="00DF041F" w:rsidP="00E357A4">
      <w:pPr>
        <w:spacing w:after="0" w:line="240" w:lineRule="auto"/>
        <w:ind w:left="360"/>
        <w:rPr>
          <w:rFonts w:cs="Times New Roman"/>
        </w:rPr>
      </w:pPr>
    </w:p>
    <w:p w:rsidR="00DF041F" w:rsidRPr="00390E7B" w:rsidRDefault="00DF041F" w:rsidP="00647717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</w:rPr>
      </w:pPr>
      <w:r w:rsidRPr="00C00167">
        <w:t xml:space="preserve">Globally, coral reefs </w:t>
      </w:r>
      <w:r>
        <w:t xml:space="preserve">likely generate </w:t>
      </w:r>
      <w:r w:rsidRPr="00C00167">
        <w:t>up to $</w:t>
      </w:r>
      <w:r>
        <w:t>30</w:t>
      </w:r>
      <w:r w:rsidRPr="00C00167">
        <w:t xml:space="preserve"> billion </w:t>
      </w:r>
      <w:r>
        <w:t xml:space="preserve">annually </w:t>
      </w:r>
      <w:r w:rsidRPr="00C00167">
        <w:t>in tourism.</w:t>
      </w:r>
      <w:r w:rsidRPr="00F70918">
        <w:t xml:space="preserve"> </w:t>
      </w:r>
      <w:r>
        <w:t xml:space="preserve">Estimate based on a preliminary model of global reef tourism </w:t>
      </w:r>
      <w:r>
        <w:rPr>
          <w:noProof/>
        </w:rPr>
        <w:t>(Spalding</w:t>
      </w:r>
      <w:r w:rsidRPr="00390E7B">
        <w:rPr>
          <w:i/>
          <w:noProof/>
        </w:rPr>
        <w:t xml:space="preserve"> et al.</w:t>
      </w:r>
      <w:r>
        <w:rPr>
          <w:noProof/>
        </w:rPr>
        <w:t xml:space="preserve"> 2014)</w:t>
      </w:r>
      <w:r>
        <w:t xml:space="preserve">. In a separate study it has been estimated that the Great Barrier Reef alone generates &gt;$4Billion annually </w:t>
      </w:r>
      <w:hyperlink r:id="rId7" w:history="1">
        <w:r w:rsidRPr="00A5184C">
          <w:rPr>
            <w:rStyle w:val="Hyperlink"/>
          </w:rPr>
          <w:t>http://www.gbrmpa.gov.au/__data/assets/pdf_file/0006/66417/Economic-contribution-of-the-Great-Barrier-Reef-2013.pdf</w:t>
        </w:r>
      </w:hyperlink>
      <w:r>
        <w:t xml:space="preserve"> </w:t>
      </w:r>
      <w:r w:rsidRPr="00C00167">
        <w:t xml:space="preserve"> </w:t>
      </w:r>
    </w:p>
    <w:p w:rsidR="00DF041F" w:rsidRPr="00390E7B" w:rsidRDefault="00DF041F" w:rsidP="00647717">
      <w:pPr>
        <w:pStyle w:val="ListParagraph"/>
        <w:numPr>
          <w:ilvl w:val="0"/>
          <w:numId w:val="20"/>
        </w:numPr>
        <w:spacing w:after="0" w:line="240" w:lineRule="auto"/>
        <w:rPr>
          <w:color w:val="000000"/>
        </w:rPr>
      </w:pPr>
      <w:r w:rsidRPr="00390E7B">
        <w:rPr>
          <w:rFonts w:cs="Times New Roman"/>
        </w:rPr>
        <w:t xml:space="preserve">Diving – the </w:t>
      </w:r>
      <w:r w:rsidRPr="00390E7B">
        <w:rPr>
          <w:color w:val="000000"/>
        </w:rPr>
        <w:t>roughly 100 sharks that inhabit the prime scuba dive sites of Palau were each worth $179,000 annually to the island nation’s tourism industry, and that each shark had a lifetime value of $1.9 million. (Fished, they would have a one-off value of $108)</w:t>
      </w:r>
      <w:r w:rsidRPr="00390E7B">
        <w:rPr>
          <w:noProof/>
          <w:color w:val="000000"/>
        </w:rPr>
        <w:t>(Vianna</w:t>
      </w:r>
      <w:r w:rsidRPr="00390E7B">
        <w:rPr>
          <w:i/>
          <w:noProof/>
          <w:color w:val="000000"/>
        </w:rPr>
        <w:t xml:space="preserve"> et al.</w:t>
      </w:r>
      <w:r w:rsidRPr="00390E7B">
        <w:rPr>
          <w:noProof/>
          <w:color w:val="000000"/>
        </w:rPr>
        <w:t xml:space="preserve"> 2012)</w:t>
      </w:r>
    </w:p>
    <w:p w:rsidR="00DF041F" w:rsidRPr="00390E7B" w:rsidRDefault="00DF041F" w:rsidP="00647717">
      <w:pPr>
        <w:pStyle w:val="ListParagraph"/>
        <w:numPr>
          <w:ilvl w:val="0"/>
          <w:numId w:val="20"/>
        </w:numPr>
        <w:spacing w:after="0" w:line="240" w:lineRule="auto"/>
        <w:rPr>
          <w:color w:val="000000"/>
        </w:rPr>
      </w:pPr>
      <w:r w:rsidRPr="00390E7B">
        <w:rPr>
          <w:color w:val="000000"/>
        </w:rPr>
        <w:t xml:space="preserve">Catch-and-release fishing for bonefish contributes around US$1 billion per year to Florida’s economy (Ault et al. 2010). </w:t>
      </w:r>
    </w:p>
    <w:p w:rsidR="00DF041F" w:rsidRDefault="00DF041F" w:rsidP="00647717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</w:rPr>
      </w:pPr>
      <w:r w:rsidRPr="00390E7B">
        <w:rPr>
          <w:rFonts w:cs="Times New Roman"/>
        </w:rPr>
        <w:t>Caribbean island tourism, which is almost entirely coastal and depends on clean, healthy coastal conditions, is worth $49Bn, or 14% of the entire GDP and directly or indirectly employs over 1.9 million people (2013 figures from</w:t>
      </w:r>
      <w:r w:rsidR="00FA24A9">
        <w:rPr>
          <w:rFonts w:cs="Times New Roman"/>
        </w:rPr>
        <w:t xml:space="preserve"> WTTC, 2014) </w:t>
      </w:r>
    </w:p>
    <w:p w:rsidR="00DF041F" w:rsidRDefault="00DF041F" w:rsidP="002573FC">
      <w:pPr>
        <w:spacing w:after="0" w:line="240" w:lineRule="auto"/>
        <w:rPr>
          <w:rFonts w:cs="Times New Roman"/>
        </w:rPr>
      </w:pPr>
    </w:p>
    <w:p w:rsidR="00DF041F" w:rsidRPr="00DF041F" w:rsidRDefault="00DF041F" w:rsidP="00DF041F"/>
    <w:p w:rsidR="00DF041F" w:rsidRDefault="00DF041F" w:rsidP="00703DF2">
      <w:pPr>
        <w:pStyle w:val="EndNoteBibliography"/>
        <w:spacing w:after="0"/>
        <w:ind w:left="720" w:hanging="720"/>
      </w:pPr>
      <w:r w:rsidRPr="00DF041F">
        <w:t xml:space="preserve">Ault, J. S., R. Humston, M. F. Larkin, E. Perusquia, N. A. Farmer, J. Luo, N. Zurcher, S. G. Smith, L. R. Barbieri, and J. M. Posada. 2010. Population Dynamics and Resource Ecology of Atlantic Tarpon and Bonefish. Pages 217–258 </w:t>
      </w:r>
      <w:r w:rsidRPr="00DF041F">
        <w:rPr>
          <w:i/>
        </w:rPr>
        <w:t>Biology and Management of the World Tarpon and Bonefish Fisheries</w:t>
      </w:r>
      <w:r w:rsidRPr="00DF041F">
        <w:t>.</w:t>
      </w:r>
    </w:p>
    <w:p w:rsidR="00DF041F" w:rsidRPr="00703DF2" w:rsidRDefault="00DF041F" w:rsidP="00703DF2">
      <w:pPr>
        <w:pStyle w:val="EndNoteBibliography"/>
        <w:spacing w:after="0"/>
        <w:ind w:left="720" w:hanging="720"/>
      </w:pPr>
      <w:r w:rsidRPr="00703DF2">
        <w:t>Blandon, A, Zu Ermgassen, P (2014) Quantitative estimate of commercial fish enhancement by seagrass habitat in southern Australia.</w:t>
      </w:r>
      <w:r w:rsidRPr="00703DF2">
        <w:rPr>
          <w:i/>
        </w:rPr>
        <w:t xml:space="preserve"> Estuarine, Coastal and Shelf Science</w:t>
      </w:r>
      <w:r w:rsidRPr="00703DF2">
        <w:t xml:space="preserve"> </w:t>
      </w:r>
      <w:r w:rsidRPr="00703DF2">
        <w:rPr>
          <w:b/>
        </w:rPr>
        <w:t>141</w:t>
      </w:r>
      <w:r w:rsidRPr="00703DF2">
        <w:t>, 1-8.</w:t>
      </w:r>
    </w:p>
    <w:p w:rsidR="00DF041F" w:rsidRPr="00703DF2" w:rsidRDefault="00DF041F" w:rsidP="00703DF2">
      <w:pPr>
        <w:pStyle w:val="EndNoteBibliography"/>
        <w:spacing w:after="0"/>
        <w:ind w:left="720" w:hanging="720"/>
      </w:pPr>
      <w:r w:rsidRPr="00703DF2">
        <w:t>Ferrario, F, Beck, MW, Storlazzi, CD, Micheli, F, Shepard, CC, Airoldi, L (2014) The effectiveness of coral reefs for coastal hazard risk reduction and adaptation.</w:t>
      </w:r>
      <w:r w:rsidRPr="00703DF2">
        <w:rPr>
          <w:i/>
        </w:rPr>
        <w:t xml:space="preserve"> Nature Communications</w:t>
      </w:r>
      <w:r w:rsidRPr="00703DF2">
        <w:t xml:space="preserve"> </w:t>
      </w:r>
      <w:r w:rsidRPr="00703DF2">
        <w:rPr>
          <w:b/>
        </w:rPr>
        <w:t>5</w:t>
      </w:r>
      <w:r w:rsidRPr="00703DF2">
        <w:t>, 9.</w:t>
      </w:r>
    </w:p>
    <w:p w:rsidR="00DF041F" w:rsidRPr="00703DF2" w:rsidRDefault="00DF041F" w:rsidP="00703DF2">
      <w:pPr>
        <w:pStyle w:val="EndNoteBibliography"/>
        <w:spacing w:after="0"/>
        <w:ind w:left="720" w:hanging="720"/>
      </w:pPr>
      <w:r w:rsidRPr="00703DF2">
        <w:t>Grabowski, JH, Brumbaugh, RD, Conrad, RF, Keeler, AG, Opaluch, JJ, Peterson, CH, Piehler, MF, Powers, SP, Smyth, AR (2012) Economic Valuation of Ecosystem Services Provided by Oyster Reefs.</w:t>
      </w:r>
      <w:r w:rsidRPr="00703DF2">
        <w:rPr>
          <w:i/>
        </w:rPr>
        <w:t xml:space="preserve"> BioScience</w:t>
      </w:r>
      <w:r w:rsidRPr="00703DF2">
        <w:t xml:space="preserve"> </w:t>
      </w:r>
      <w:r w:rsidRPr="00703DF2">
        <w:rPr>
          <w:b/>
        </w:rPr>
        <w:t>62</w:t>
      </w:r>
      <w:r w:rsidRPr="00703DF2">
        <w:t>, 900-909.</w:t>
      </w:r>
    </w:p>
    <w:p w:rsidR="00DF041F" w:rsidRPr="00703DF2" w:rsidRDefault="00DF041F" w:rsidP="00703DF2">
      <w:pPr>
        <w:pStyle w:val="EndNoteBibliography"/>
        <w:spacing w:after="0"/>
        <w:ind w:left="720" w:hanging="720"/>
      </w:pPr>
      <w:r w:rsidRPr="00703DF2">
        <w:t>McIvor, AL, Möller, I, Spencer, T, Spalding, M (2012) Reduction of Wind and Swell Waves by Mangroves. Natural Coastal Protection Series: Report 1. The Nature Conservancy, University of Cambridge, and Wetlands International, Cambridge, UK.</w:t>
      </w:r>
    </w:p>
    <w:p w:rsidR="00DF041F" w:rsidRPr="00703DF2" w:rsidRDefault="00DF041F" w:rsidP="00703DF2">
      <w:pPr>
        <w:pStyle w:val="EndNoteBibliography"/>
        <w:spacing w:after="0"/>
        <w:ind w:left="720" w:hanging="720"/>
      </w:pPr>
      <w:r w:rsidRPr="00703DF2">
        <w:t xml:space="preserve">Spalding, M, Burke, L, Hutchison, J, Ermgassen, Pz, Thomas, H, Ashpole, J, Balmford, A, Butchart, S, McIvor, A, McOwen, C, McSharry, B, Merriman, J, Spencer, T (2014) Attaining Aichi Target 11: How well are marine ecosystem services covered by protected areas? Policy brief prepared for the World Parks Congress, Sydney, November, 2014.  Available at </w:t>
      </w:r>
      <w:r w:rsidRPr="00DF041F">
        <w:t>http://oceanwealth.org/wp-content/uploads/2015/02/Attaining-Aichi-Target-11-WPC-Discussion-Paper.pdf</w:t>
      </w:r>
      <w:r w:rsidRPr="00703DF2">
        <w:t>.</w:t>
      </w:r>
    </w:p>
    <w:p w:rsidR="00FA24A9" w:rsidRDefault="00DF041F" w:rsidP="00FA24A9">
      <w:pPr>
        <w:pStyle w:val="EndNoteBibliography"/>
        <w:spacing w:after="0"/>
        <w:ind w:left="720" w:hanging="720"/>
      </w:pPr>
      <w:r w:rsidRPr="00703DF2">
        <w:t>Vianna, GMS, Meekan, MG, Pannell, DJ, Marsh, SP, Meeuwig, JJ (2012) Socio-economic value and community benefits from shark-diving tourism in Palau: A sustainable use of reef shark populations.</w:t>
      </w:r>
      <w:r w:rsidRPr="00703DF2">
        <w:rPr>
          <w:i/>
        </w:rPr>
        <w:t xml:space="preserve"> Biological Conservation</w:t>
      </w:r>
      <w:r w:rsidRPr="00703DF2">
        <w:t xml:space="preserve"> </w:t>
      </w:r>
      <w:r w:rsidRPr="00703DF2">
        <w:rPr>
          <w:b/>
        </w:rPr>
        <w:t>145</w:t>
      </w:r>
      <w:r w:rsidRPr="00703DF2">
        <w:t>, 267-277.</w:t>
      </w:r>
      <w:r w:rsidR="00FA24A9" w:rsidRPr="00FA24A9">
        <w:t xml:space="preserve"> </w:t>
      </w:r>
    </w:p>
    <w:p w:rsidR="00DF041F" w:rsidRDefault="00FA24A9" w:rsidP="00FA24A9">
      <w:pPr>
        <w:pStyle w:val="EndNoteBibliography"/>
        <w:spacing w:after="0"/>
        <w:ind w:left="720" w:hanging="720"/>
      </w:pPr>
      <w:r w:rsidRPr="00FA24A9">
        <w:t>WTTC (2014) Travel &amp; Tourism. Economic Impact 2014: Caribbean. World Travel and Tourism Council, London. Available at http://www.wttc.org</w:t>
      </w:r>
    </w:p>
    <w:p w:rsidR="00FA24A9" w:rsidRPr="00703DF2" w:rsidRDefault="00FA24A9" w:rsidP="00703DF2">
      <w:pPr>
        <w:pStyle w:val="EndNoteBibliography"/>
        <w:ind w:left="720" w:hanging="720"/>
      </w:pPr>
    </w:p>
    <w:p w:rsidR="00DF041F" w:rsidRPr="00015E36" w:rsidRDefault="00DF041F" w:rsidP="00DF041F">
      <w:pPr>
        <w:spacing w:after="0" w:line="240" w:lineRule="auto"/>
      </w:pPr>
    </w:p>
    <w:p w:rsidR="00405B03" w:rsidRDefault="00405B03"/>
    <w:sectPr w:rsidR="00405B03" w:rsidSect="00DC2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FC3"/>
    <w:multiLevelType w:val="hybridMultilevel"/>
    <w:tmpl w:val="C004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E0E"/>
    <w:multiLevelType w:val="hybridMultilevel"/>
    <w:tmpl w:val="390C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1972"/>
    <w:multiLevelType w:val="hybridMultilevel"/>
    <w:tmpl w:val="C90A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7E22"/>
    <w:multiLevelType w:val="hybridMultilevel"/>
    <w:tmpl w:val="67A6C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6059"/>
    <w:multiLevelType w:val="hybridMultilevel"/>
    <w:tmpl w:val="6B0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512"/>
    <w:multiLevelType w:val="hybridMultilevel"/>
    <w:tmpl w:val="F228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C5451"/>
    <w:multiLevelType w:val="hybridMultilevel"/>
    <w:tmpl w:val="1ECCD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808F4"/>
    <w:multiLevelType w:val="hybridMultilevel"/>
    <w:tmpl w:val="5A38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E3275"/>
    <w:multiLevelType w:val="hybridMultilevel"/>
    <w:tmpl w:val="C1F20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154584"/>
    <w:multiLevelType w:val="hybridMultilevel"/>
    <w:tmpl w:val="3C48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466D"/>
    <w:multiLevelType w:val="hybridMultilevel"/>
    <w:tmpl w:val="A726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E22CB"/>
    <w:multiLevelType w:val="hybridMultilevel"/>
    <w:tmpl w:val="DAB87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23924"/>
    <w:multiLevelType w:val="hybridMultilevel"/>
    <w:tmpl w:val="A1222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302BB"/>
    <w:multiLevelType w:val="hybridMultilevel"/>
    <w:tmpl w:val="E2AA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B3263"/>
    <w:multiLevelType w:val="hybridMultilevel"/>
    <w:tmpl w:val="6094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B7F8E"/>
    <w:multiLevelType w:val="hybridMultilevel"/>
    <w:tmpl w:val="D2FE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E34B3"/>
    <w:multiLevelType w:val="hybridMultilevel"/>
    <w:tmpl w:val="D50C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32882"/>
    <w:multiLevelType w:val="hybridMultilevel"/>
    <w:tmpl w:val="938E1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3105AB"/>
    <w:multiLevelType w:val="hybridMultilevel"/>
    <w:tmpl w:val="1FFE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A05CC"/>
    <w:multiLevelType w:val="hybridMultilevel"/>
    <w:tmpl w:val="147E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7"/>
  </w:num>
  <w:num w:numId="5">
    <w:abstractNumId w:val="13"/>
  </w:num>
  <w:num w:numId="6">
    <w:abstractNumId w:val="5"/>
  </w:num>
  <w:num w:numId="7">
    <w:abstractNumId w:val="0"/>
  </w:num>
  <w:num w:numId="8">
    <w:abstractNumId w:val="18"/>
  </w:num>
  <w:num w:numId="9">
    <w:abstractNumId w:val="14"/>
  </w:num>
  <w:num w:numId="10">
    <w:abstractNumId w:val="10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F041F"/>
    <w:rsid w:val="00171E31"/>
    <w:rsid w:val="003630CD"/>
    <w:rsid w:val="00405B03"/>
    <w:rsid w:val="00647717"/>
    <w:rsid w:val="00A947A1"/>
    <w:rsid w:val="00B87805"/>
    <w:rsid w:val="00DF041F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1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0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0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0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0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0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0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0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0C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30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0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3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630CD"/>
    <w:rPr>
      <w:b/>
      <w:bCs/>
    </w:rPr>
  </w:style>
  <w:style w:type="character" w:styleId="Emphasis">
    <w:name w:val="Emphasis"/>
    <w:basedOn w:val="DefaultParagraphFont"/>
    <w:uiPriority w:val="20"/>
    <w:qFormat/>
    <w:rsid w:val="003630CD"/>
    <w:rPr>
      <w:i/>
      <w:iCs/>
    </w:rPr>
  </w:style>
  <w:style w:type="paragraph" w:styleId="NoSpacing">
    <w:name w:val="No Spacing"/>
    <w:uiPriority w:val="1"/>
    <w:qFormat/>
    <w:rsid w:val="00363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04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0C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C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630C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630C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630C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630C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30C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0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4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1F"/>
    <w:rPr>
      <w:rFonts w:ascii="Lucida Grande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04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4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41F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1F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F041F"/>
  </w:style>
  <w:style w:type="character" w:styleId="Hyperlink">
    <w:name w:val="Hyperlink"/>
    <w:basedOn w:val="DefaultParagraphFont"/>
    <w:uiPriority w:val="99"/>
    <w:unhideWhenUsed/>
    <w:rsid w:val="00DF04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1F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F041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F041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F041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F041F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1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0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0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0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0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0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0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0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0CD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30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0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3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630CD"/>
    <w:rPr>
      <w:b/>
      <w:bCs/>
    </w:rPr>
  </w:style>
  <w:style w:type="character" w:styleId="Emphasis">
    <w:name w:val="Emphasis"/>
    <w:basedOn w:val="DefaultParagraphFont"/>
    <w:uiPriority w:val="20"/>
    <w:qFormat/>
    <w:rsid w:val="003630CD"/>
    <w:rPr>
      <w:i/>
      <w:iCs/>
    </w:rPr>
  </w:style>
  <w:style w:type="paragraph" w:styleId="NoSpacing">
    <w:name w:val="No Spacing"/>
    <w:uiPriority w:val="1"/>
    <w:qFormat/>
    <w:rsid w:val="00363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04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0C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C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630C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630C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630C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630C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30C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0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4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1F"/>
    <w:rPr>
      <w:rFonts w:ascii="Lucida Grande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04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4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41F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1F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DF041F"/>
  </w:style>
  <w:style w:type="character" w:styleId="Hyperlink">
    <w:name w:val="Hyperlink"/>
    <w:basedOn w:val="DefaultParagraphFont"/>
    <w:uiPriority w:val="99"/>
    <w:unhideWhenUsed/>
    <w:rsid w:val="00DF04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1F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DF041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F041F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F041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F041F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brmpa.gov.au/__data/assets/pdf_file/0006/66417/Economic-contribution-of-the-Great-Barrier-Reef-2013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ure.org/ourinitiatives/habitats/oceanscoasts/howwework/marine-conservation-inspiring-stories-sustainable-fisheries-1.x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0EC62122593448FC533DFD5E4005C" ma:contentTypeVersion="1" ma:contentTypeDescription="Create a new document." ma:contentTypeScope="" ma:versionID="8413911bbd620e595e909c5616449c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EADCEF-5850-4EDA-9E66-FBA33A4E7F28}"/>
</file>

<file path=customXml/itemProps2.xml><?xml version="1.0" encoding="utf-8"?>
<ds:datastoreItem xmlns:ds="http://schemas.openxmlformats.org/officeDocument/2006/customXml" ds:itemID="{27D4DD74-07FD-4BA0-851D-6B7D943C8BB4}"/>
</file>

<file path=customXml/itemProps3.xml><?xml version="1.0" encoding="utf-8"?>
<ds:datastoreItem xmlns:ds="http://schemas.openxmlformats.org/officeDocument/2006/customXml" ds:itemID="{9A253C02-BF3C-4184-9350-7F6ED9057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Infographic Sources</dc:title>
  <dc:creator>Mark Spalding</dc:creator>
  <cp:lastModifiedBy>Kathleen Bacon</cp:lastModifiedBy>
  <cp:revision>2</cp:revision>
  <dcterms:created xsi:type="dcterms:W3CDTF">2015-06-01T19:35:00Z</dcterms:created>
  <dcterms:modified xsi:type="dcterms:W3CDTF">2015-06-01T19:35:00Z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0x0101003020EC62122593448FC533DFD5E4005C</vt:lpwstr>
  </property>
</Properties>
</file>