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7"/>
        <w:gridCol w:w="923"/>
      </w:tblGrid>
      <w:tr w:rsidR="00343A47" w:rsidRPr="00343A47" w:rsidTr="00BF36B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7"/>
            </w:tblGrid>
            <w:tr w:rsidR="00343A47" w:rsidRPr="00343A47" w:rsidTr="00BF36BE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7"/>
                  </w:tblGrid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rPr>
                            <w:rFonts w:ascii="Calibri" w:eastAsia="Calibri" w:hAnsi="Calibri" w:cs="Times New Roman"/>
                            <w:sz w:val="24"/>
                            <w:szCs w:val="24"/>
                          </w:rPr>
                        </w:pPr>
                        <w:bookmarkStart w:id="0" w:name="_GoBack" w:colFirst="0" w:colLast="0"/>
                        <w:r w:rsidRPr="00343A47">
                          <w:rPr>
                            <w:rFonts w:ascii="Calibri" w:eastAsia="Calibri" w:hAnsi="Calibri" w:cs="Times New Roman"/>
                            <w:noProof/>
                          </w:rPr>
                          <w:drawing>
                            <wp:inline distT="0" distB="0" distL="0" distR="0" wp14:anchorId="4F305C93" wp14:editId="0D5C5D34">
                              <wp:extent cx="5148580" cy="655955"/>
                              <wp:effectExtent l="0" t="0" r="0" b="0"/>
                              <wp:docPr id="5" name="Picture 5" descr="http://www.onlinelibrary.wiley.com/store/10.1111/%28ISSN%291365-2400/asset/FME_large.jpg?v=1&amp;s=16a085632c33a4c6bdfda1d11b305749551d0c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onlinelibrary.wiley.com/store/10.1111/%28ISSN%291365-2400/asset/FME_large.jpg?v=1&amp;s=16a085632c33a4c6bdfda1d11b305749551d0c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8580" cy="655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A47" w:rsidRPr="00343A47" w:rsidRDefault="00343A47" w:rsidP="00343A47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7"/>
                  </w:tblGrid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3"/>
                          <w:gridCol w:w="7347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15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Calibri" w:hAnsi="Calibri" w:cs="Times New Roman"/>
                                  <w:sz w:val="24"/>
                                  <w:szCs w:val="24"/>
                                </w:rPr>
                              </w:pPr>
                              <w:r w:rsidRPr="00343A47">
                                <w:rPr>
                                  <w:rFonts w:ascii="Calibri" w:eastAsia="Calibri" w:hAnsi="Calibri" w:cs="Times New Roman"/>
                                  <w:noProof/>
                                </w:rPr>
                                <w:drawing>
                                  <wp:inline distT="0" distB="0" distL="0" distR="0" wp14:anchorId="2B7059A7" wp14:editId="102C1345">
                                    <wp:extent cx="963930" cy="1252220"/>
                                    <wp:effectExtent l="0" t="0" r="0" b="0"/>
                                    <wp:docPr id="6" name="Picture 6" descr="Cover image for Vol. 19 Issu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over image for Vol. 19 Issu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3930" cy="1252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350" w:type="dxa"/>
                              <w:hideMark/>
                            </w:tcPr>
                            <w:p w:rsidR="00343A47" w:rsidRPr="00343A47" w:rsidRDefault="00343A47" w:rsidP="00343A47">
                              <w:pPr>
                                <w:keepNext/>
                                <w:keepLines/>
                                <w:spacing w:before="480" w:after="0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D5D5D"/>
                                  <w:sz w:val="23"/>
                                  <w:szCs w:val="23"/>
                                </w:rPr>
                              </w:pPr>
                              <w:r w:rsidRPr="00343A4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D5D5D"/>
                                  <w:sz w:val="23"/>
                                  <w:szCs w:val="23"/>
                                </w:rPr>
                                <w:t>Fisheries Management and Ecology</w:t>
                              </w:r>
                            </w:p>
                            <w:p w:rsidR="00343A47" w:rsidRPr="00343A47" w:rsidRDefault="00343A47" w:rsidP="00343A47">
                              <w:pPr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r w:rsidRPr="00343A47">
                                <w:rPr>
                                  <w:rFonts w:ascii="Arial" w:eastAsia="Calibri" w:hAnsi="Arial" w:cs="Arial"/>
                                  <w:color w:val="A3A2A2"/>
                                  <w:sz w:val="15"/>
                                  <w:szCs w:val="15"/>
                                </w:rPr>
                                <w:t>© Blackwell Publishing Ltd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color w:val="007E8B"/>
                                    <w:sz w:val="18"/>
                                    <w:szCs w:val="18"/>
                                    <w:u w:val="single"/>
                                  </w:rPr>
                                  <w:t>Volume 19, Issue 6 Pages 445 - 569, December 2012</w:t>
                                </w:r>
                              </w:hyperlink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</w:pPr>
                        <w:r w:rsidRPr="00343A47">
                          <w:rPr>
                            <w:rFonts w:ascii="Arial" w:eastAsia="Calibri" w:hAnsi="Arial" w:cs="Arial"/>
                            <w:sz w:val="18"/>
                            <w:szCs w:val="18"/>
                          </w:rPr>
                          <w:t xml:space="preserve">The latest issue of Fisheries Management and Ecology is available on </w:t>
                        </w:r>
                        <w:hyperlink r:id="rId8" w:tgtFrame="_blank" w:tooltip="Link to Wiley Online Library" w:history="1">
                          <w:r w:rsidRPr="00343A47">
                            <w:rPr>
                              <w:rFonts w:ascii="Arial" w:eastAsia="Calibri" w:hAnsi="Arial" w:cs="Arial"/>
                              <w:color w:val="007E8B"/>
                              <w:sz w:val="18"/>
                              <w:szCs w:val="18"/>
                              <w:u w:val="single"/>
                            </w:rPr>
                            <w:t>Wiley Online Library</w:t>
                          </w:r>
                        </w:hyperlink>
                      </w:p>
                    </w:tc>
                  </w:tr>
                </w:tbl>
                <w:p w:rsidR="00343A47" w:rsidRPr="00343A47" w:rsidRDefault="00343A47" w:rsidP="00343A47">
                  <w:pPr>
                    <w:rPr>
                      <w:rFonts w:ascii="Calibri" w:eastAsia="Calibri" w:hAnsi="Calibri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7"/>
                  </w:tblGrid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E1E9EB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</w:pP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5D5D5D"/>
                            <w:sz w:val="18"/>
                            <w:szCs w:val="18"/>
                          </w:rPr>
                          <w:t>Preface</w:t>
                        </w: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9" w:tgtFrame="_blank" w:history="1"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Salmonids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and flows: a perspective on the state of the science and its application (pages 445–450)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N. J. MILNER, I. G. COWX and K. F. WHELAN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15 NOV 2012 | DOI: 10.1111/fme.12016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E1E9EB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</w:pP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5D5D5D"/>
                            <w:sz w:val="18"/>
                            <w:szCs w:val="18"/>
                          </w:rPr>
                          <w:t>Review Articles</w:t>
                        </w: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0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Towards a life-history-based management framework for the effects of flow on juvenile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salmonids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in streams and rivers (pages 451–463)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K. H. NISLOW and J. D. ARMSTRONG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20 OCT 2011 | DOI: 10.1111/j.1365-2400.2011.00810.x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1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The influence of hydrology and hydraulics on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salmonids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between spawning and emergence: implications for the management of flows in regulated rivers (pages 464–474)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I. A. MALCOLM, C. N. GIBBINS, C. SOULSBY, D. TETZLAFF and H. J. MOIR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31 JAN 2012 | DOI: 10.1111/j.1365-2400.2011.00836.x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E1E9EB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</w:pP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5D5D5D"/>
                            <w:sz w:val="18"/>
                            <w:szCs w:val="18"/>
                          </w:rPr>
                          <w:t>Original Articles</w:t>
                        </w: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2" w:tgtFrame="_blank" w:history="1"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Modelling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the migratory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behaviour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of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salmonids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in relation to environmental and physiological parameters using telemetry data (pages 475–483)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B. BENDALL, A. MOORE, D. MAXWELL, P. DAVISON, N. EDMONDS, D. ARCHER, D. SOLOMON, V. GREEST, R. WYATT and K. BROAD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lastRenderedPageBreak/>
                                <w:t>Article first published online: 13 OCT 2011 | DOI: 10.1111/j.1365-2400.2011.00811.x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3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Water resource management – the water utilities view (pages 484–489)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F. J. BOWLES and P. HENDERSON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13 OCT 2011 | DOI: 10.1111/j.1365-2400.2011.00813.x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4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Incorporating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hydromorphology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in strategic approaches to managing flows for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salmonids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(pages 490–499)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M. NEWSON, D. SEAR and C. SOULSBY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7 FEB 2012 | DOI: 10.1111/j.1365-2400.2011.00822.x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5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Hydraulic-habitat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modelling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for setting environmental river flow needs for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salmonids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(pages 500–517)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M. J. DUNBAR, K. ALFREDSEN and A. HARBY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23 OCT 2011 | DOI: 10.1111/j.1365-2400.2011.00825.x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6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River temperature and adult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anadromous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Atlantic salmon,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salar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,</w:t>
                                </w:r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and brown trout,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trutta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(pages 518–526)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A. MOORE, B. BENDALL, J. BARRY, C. WARING, N. CROOKS and L. CROOKS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18 JAN 2012 | DOI: 10.1111/j.1365-2400.2011.00833.x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7" w:tgtFrame="_blank" w:history="1"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Modelling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approaches for relating effects of change in river flow to populations of Atlantic salmon and brown trout (pages 527–536)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J. D. ARMSTRONG and K. H. NISLOW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31 JAN 2012 | DOI: 10.1111/j.1365-2400.2011.00835.x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E1E9EB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</w:pP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5D5D5D"/>
                            <w:sz w:val="18"/>
                            <w:szCs w:val="18"/>
                          </w:rPr>
                          <w:lastRenderedPageBreak/>
                          <w:t>Original Articles</w:t>
                        </w: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8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The role of river flow in the migration of adult Atlantic salmon,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salar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, through estuaries and rivers (pages 537–547)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N. J. MILNER, D. J. SOLOMON and G. W. SMITH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15 NOV 2012 | DOI: 10.1111/fme.12011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19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Flow requirements of non-</w:t>
                                </w:r>
                                <w:proofErr w:type="spellStart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salmonids</w:t>
                                </w:r>
                                <w:proofErr w:type="spellEnd"/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 xml:space="preserve"> (pages 548–556)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I. G. COWX, R. A. NOBLE, D. NUNN, J. BOLLAND, S. WALTON, G. PIERSON and J. P. HARVEY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15 NOV 2012 | DOI: 10.1111/fme.12017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12" w:space="0" w:color="E1E9EB"/>
                          <w:left w:val="nil"/>
                          <w:bottom w:val="nil"/>
                          <w:right w:val="nil"/>
                        </w:tcBorders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</w:pP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color w:val="5D5D5D"/>
                            <w:sz w:val="18"/>
                            <w:szCs w:val="18"/>
                          </w:rPr>
                          <w:t>Management and Ecological Note</w:t>
                        </w:r>
                        <w:r w:rsidRPr="00343A47">
                          <w:rPr>
                            <w:rFonts w:ascii="Arial" w:eastAsia="Times New Roman" w:hAnsi="Arial" w:cs="Arial"/>
                            <w:b/>
                            <w:bCs/>
                            <w:color w:val="5D5D5D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8062"/>
                        </w:tblGrid>
                        <w:tr w:rsidR="00343A47" w:rsidRPr="00343A47" w:rsidTr="00BF36BE">
                          <w:trPr>
                            <w:tblCellSpacing w:w="0" w:type="dxa"/>
                          </w:trPr>
                          <w:tc>
                            <w:tcPr>
                              <w:tcW w:w="375" w:type="dxa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hideMark/>
                            </w:tcPr>
                            <w:p w:rsidR="00343A47" w:rsidRPr="00343A47" w:rsidRDefault="00343A47" w:rsidP="00343A47">
                              <w:pPr>
                                <w:rPr>
                                  <w:rFonts w:ascii="Calibri" w:eastAsia="Times New Roman" w:hAnsi="Calibri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43A47" w:rsidRPr="00343A47" w:rsidRDefault="00343A47" w:rsidP="00343A47">
                              <w:pPr>
                                <w:spacing w:after="240"/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</w:pPr>
                              <w:hyperlink r:id="rId20" w:tgtFrame="_blank" w:history="1">
                                <w:r w:rsidRPr="00343A47"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The role of the UK conservation agencies in protecting river flows (pages 557–569)</w:t>
                                </w:r>
                              </w:hyperlink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C. P. MAINSTONE, R. THOMAS, C. W. BEAN and T. WATERMAN</w:t>
                              </w:r>
                              <w:r w:rsidRPr="00343A47">
                                <w:rPr>
                                  <w:rFonts w:ascii="Calibri" w:eastAsia="Calibri" w:hAnsi="Calibri" w:cs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3A47">
                                <w:rPr>
                                  <w:rFonts w:ascii="Arial" w:eastAsia="Calibri" w:hAnsi="Arial" w:cs="Arial"/>
                                  <w:sz w:val="18"/>
                                  <w:szCs w:val="18"/>
                                </w:rPr>
                                <w:t>Article first published online: 20 OCT 2011 | DOI: 10.1111/j.1365-2400.2011.00812.x</w:t>
                              </w:r>
                            </w:p>
                          </w:tc>
                        </w:tr>
                      </w:tbl>
                      <w:p w:rsidR="00343A47" w:rsidRPr="00343A47" w:rsidRDefault="00343A47" w:rsidP="00343A47">
                        <w:pPr>
                          <w:rPr>
                            <w:rFonts w:ascii="Calibri" w:eastAsia="Times New Roman" w:hAnsi="Calibri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A47" w:rsidRPr="00343A47" w:rsidRDefault="00343A47" w:rsidP="00343A47">
                  <w:pPr>
                    <w:rPr>
                      <w:rFonts w:ascii="Calibri" w:eastAsia="Calibri" w:hAnsi="Calibri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7"/>
                  </w:tblGrid>
                  <w:tr w:rsidR="00343A47" w:rsidRPr="00343A47" w:rsidTr="00BF36B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:rsidR="00343A47" w:rsidRPr="00343A47" w:rsidRDefault="00343A47" w:rsidP="00343A47">
                        <w:pPr>
                          <w:rPr>
                            <w:rFonts w:ascii="Arial" w:eastAsia="Calibri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343A47" w:rsidRPr="00343A47" w:rsidRDefault="00343A47" w:rsidP="00343A47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343A47" w:rsidRPr="00343A47" w:rsidRDefault="00343A47" w:rsidP="00343A4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80" w:type="dxa"/>
              <w:left w:w="0" w:type="dxa"/>
              <w:bottom w:w="0" w:type="dxa"/>
              <w:right w:w="0" w:type="dxa"/>
            </w:tcMar>
            <w:hideMark/>
          </w:tcPr>
          <w:p w:rsidR="00343A47" w:rsidRPr="00343A47" w:rsidRDefault="00343A47" w:rsidP="00343A47">
            <w:pPr>
              <w:jc w:val="center"/>
              <w:rPr>
                <w:rFonts w:ascii="Arial" w:eastAsia="Calibri" w:hAnsi="Arial" w:cs="Arial"/>
                <w:color w:val="5D5D5D"/>
                <w:sz w:val="24"/>
                <w:szCs w:val="24"/>
              </w:rPr>
            </w:pPr>
            <w:r w:rsidRPr="00343A47">
              <w:rPr>
                <w:rFonts w:ascii="Arial" w:eastAsia="Calibri" w:hAnsi="Arial" w:cs="Arial"/>
                <w:noProof/>
                <w:color w:val="007E8B"/>
              </w:rPr>
              <w:lastRenderedPageBreak/>
              <w:drawing>
                <wp:inline distT="0" distB="0" distL="0" distR="0" wp14:anchorId="05EBE901" wp14:editId="465681E9">
                  <wp:extent cx="626110" cy="626110"/>
                  <wp:effectExtent l="0" t="0" r="0" b="0"/>
                  <wp:docPr id="7" name="Picture 7" descr="http://ad.uk.doubleclick.net/ad/wly.aqua.fish_000017/fisheries-manag-eco_FME--e%3bkw=test%3btile=1%3bsz=120x600%2c160x160%2c160x320%2c160x600%3bdcove=r%3bord=107637037?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.uk.doubleclick.net/ad/wly.aqua.fish_000017/fisheries-manag-eco_FME--e%3bkw=test%3btile=1%3bsz=120x600%2c160x160%2c160x320%2c160x600%3bdcove=r%3bord=107637037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3A47">
              <w:rPr>
                <w:rFonts w:ascii="Arial" w:eastAsia="Calibri" w:hAnsi="Arial" w:cs="Arial"/>
                <w:noProof/>
                <w:color w:val="007E8B"/>
              </w:rPr>
              <w:drawing>
                <wp:inline distT="0" distB="0" distL="0" distR="0" wp14:anchorId="7FC2AA79" wp14:editId="6A12D433">
                  <wp:extent cx="626110" cy="626110"/>
                  <wp:effectExtent l="0" t="0" r="0" b="0"/>
                  <wp:docPr id="8" name="Picture 8" descr="http://ad.uk.doubleclick.net/ad/wly.aqua.fish_000017/fisheries-manag-eco_FME--e%3bkw=job_ealert%3btile=2%3bsz=120x600%2c160x160%2c160x320%2c160x600%3bdcove=r%3bord=107637037?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.uk.doubleclick.net/ad/wly.aqua.fish_000017/fisheries-manag-eco_FME--e%3bkw=job_ealert%3btile=2%3bsz=120x600%2c160x160%2c160x320%2c160x600%3bdcove=r%3bord=107637037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257" w:rsidRDefault="00343A47"/>
    <w:sectPr w:rsidR="009E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7"/>
    <w:rsid w:val="00343A47"/>
    <w:rsid w:val="00A75C04"/>
    <w:rsid w:val="00D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journal/10.1111/%28ISSN%291365-2400" TargetMode="External"/><Relationship Id="rId13" Type="http://schemas.openxmlformats.org/officeDocument/2006/relationships/hyperlink" Target="http://onlinelibrary.wiley.com/doi/10.1111/j.1365-2400.2011.00813.x/abstract" TargetMode="External"/><Relationship Id="rId18" Type="http://schemas.openxmlformats.org/officeDocument/2006/relationships/hyperlink" Target="http://onlinelibrary.wiley.com/doi/10.1111/fme.12011/abstract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://ad.uk.doubleclick.net/jump/wly.aqua.fish_000017/fisheries-manag-eco_FME--e;kw=test;tile=1;sz=120x600,160x160,160x320,160x600;dcove=r;ord=107637037?" TargetMode="External"/><Relationship Id="rId7" Type="http://schemas.openxmlformats.org/officeDocument/2006/relationships/hyperlink" Target="http://onlinelibrary.wiley.com/doi/10.1111/fme.2012.19.issue-6/issuetoc" TargetMode="External"/><Relationship Id="rId12" Type="http://schemas.openxmlformats.org/officeDocument/2006/relationships/hyperlink" Target="http://onlinelibrary.wiley.com/doi/10.1111/j.1365-2400.2011.00811.x/abstract" TargetMode="External"/><Relationship Id="rId17" Type="http://schemas.openxmlformats.org/officeDocument/2006/relationships/hyperlink" Target="http://onlinelibrary.wiley.com/doi/10.1111/j.1365-2400.2011.00835.x/abstract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library.wiley.com/doi/10.1111/j.1365-2400.2011.00833.x/abstract" TargetMode="External"/><Relationship Id="rId20" Type="http://schemas.openxmlformats.org/officeDocument/2006/relationships/hyperlink" Target="http://onlinelibrary.wiley.com/doi/10.1111/j.1365-2400.2011.00812.x/abstract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onlinelibrary.wiley.com/doi/10.1111/j.1365-2400.2011.00836.x/abstract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onlinelibrary.wiley.com/doi/10.1111/j.1365-2400.2011.00825.x/abstract" TargetMode="External"/><Relationship Id="rId23" Type="http://schemas.openxmlformats.org/officeDocument/2006/relationships/hyperlink" Target="http://ad.uk.doubleclick.net/jump/wly.aqua.fish_000017/fisheries-manag-eco_FME--e;kw=job_ealert;tile=2;sz=120x600,160x160,160x320,160x600;dcove=r;ord=107637037?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onlinelibrary.wiley.com/doi/10.1111/j.1365-2400.2011.00810.x/abstract" TargetMode="External"/><Relationship Id="rId19" Type="http://schemas.openxmlformats.org/officeDocument/2006/relationships/hyperlink" Target="http://onlinelibrary.wiley.com/doi/10.1111/fme.12017/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fme.12016/abstract" TargetMode="External"/><Relationship Id="rId14" Type="http://schemas.openxmlformats.org/officeDocument/2006/relationships/hyperlink" Target="http://onlinelibrary.wiley.com/doi/10.1111/j.1365-2400.2011.00822.x/abstract" TargetMode="External"/><Relationship Id="rId22" Type="http://schemas.openxmlformats.org/officeDocument/2006/relationships/image" Target="media/image3.gif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593FB687C5B46AC7D11A19D151DEB" ma:contentTypeVersion="1" ma:contentTypeDescription="Create a new document." ma:contentTypeScope="" ma:versionID="92d5f89dcc7897d8fa46ac8b1be713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B7681-2ADA-492C-BEAC-10F09C7E6BDA}"/>
</file>

<file path=customXml/itemProps2.xml><?xml version="1.0" encoding="utf-8"?>
<ds:datastoreItem xmlns:ds="http://schemas.openxmlformats.org/officeDocument/2006/customXml" ds:itemID="{CA0CC900-16F0-4159-B234-A81103B66C7C}"/>
</file>

<file path=customXml/itemProps3.xml><?xml version="1.0" encoding="utf-8"?>
<ds:datastoreItem xmlns:ds="http://schemas.openxmlformats.org/officeDocument/2006/customXml" ds:itemID="{A69542BC-1B53-4269-AB01-02A07CBC9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Eloise Kendy</dc:creator>
  <cp:lastModifiedBy>Eloise Kendy</cp:lastModifiedBy>
  <cp:revision>1</cp:revision>
  <dcterms:created xsi:type="dcterms:W3CDTF">2013-05-08T19:45:00Z</dcterms:created>
  <dcterms:modified xsi:type="dcterms:W3CDTF">2013-05-08T19:46:00Z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0x01010078C593FB687C5B46AC7D11A19D151DEB</vt:lpwstr>
  </property>
</Properties>
</file>