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01" w:rsidRPr="00034A01" w:rsidRDefault="00034A01" w:rsidP="00034A01">
      <w:pPr>
        <w:pStyle w:val="Heading2"/>
        <w:jc w:val="center"/>
        <w:rPr>
          <w:rFonts w:ascii="Arial" w:hAnsi="Arial" w:cs="Arial"/>
          <w:color w:val="auto"/>
          <w:sz w:val="32"/>
        </w:rPr>
      </w:pPr>
      <w:bookmarkStart w:id="0" w:name="_Toc450660660"/>
      <w:r w:rsidRPr="00034A01">
        <w:rPr>
          <w:rFonts w:ascii="Arial" w:hAnsi="Arial" w:cs="Arial"/>
          <w:color w:val="auto"/>
          <w:sz w:val="32"/>
        </w:rPr>
        <w:t>Hunting Areas</w:t>
      </w:r>
      <w:bookmarkEnd w:id="0"/>
    </w:p>
    <w:tbl>
      <w:tblPr>
        <w:tblStyle w:val="TableGrid"/>
        <w:tblW w:w="11152" w:type="dxa"/>
        <w:tblInd w:w="53" w:type="dxa"/>
        <w:tblLook w:val="04A0" w:firstRow="1" w:lastRow="0" w:firstColumn="1" w:lastColumn="0" w:noHBand="0" w:noVBand="1"/>
      </w:tblPr>
      <w:tblGrid>
        <w:gridCol w:w="7870"/>
        <w:gridCol w:w="3282"/>
      </w:tblGrid>
      <w:tr w:rsidR="00034A01" w:rsidTr="00B32E7C">
        <w:trPr>
          <w:trHeight w:val="5992"/>
        </w:trPr>
        <w:tc>
          <w:tcPr>
            <w:tcW w:w="7871" w:type="dxa"/>
            <w:tcBorders>
              <w:top w:val="nil"/>
              <w:left w:val="nil"/>
              <w:bottom w:val="nil"/>
              <w:right w:val="nil"/>
            </w:tcBorders>
          </w:tcPr>
          <w:p w:rsidR="00034A01" w:rsidRDefault="00034A01" w:rsidP="00B32E7C">
            <w:pPr>
              <w:spacing w:line="259"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93980</wp:posOffset>
                      </wp:positionV>
                      <wp:extent cx="1971675" cy="36099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71675" cy="360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A01" w:rsidRPr="001855A9" w:rsidRDefault="00034A01" w:rsidP="00034A01">
                                  <w:pPr>
                                    <w:jc w:val="center"/>
                                    <w:rPr>
                                      <w:b/>
                                      <w:sz w:val="28"/>
                                      <w:szCs w:val="28"/>
                                    </w:rPr>
                                  </w:pPr>
                                  <w:r>
                                    <w:rPr>
                                      <w:b/>
                                      <w:sz w:val="28"/>
                                      <w:szCs w:val="28"/>
                                    </w:rPr>
                                    <w:t>Take Home</w:t>
                                  </w:r>
                                  <w:r w:rsidRPr="001855A9">
                                    <w:rPr>
                                      <w:b/>
                                      <w:sz w:val="28"/>
                                      <w:szCs w:val="28"/>
                                    </w:rPr>
                                    <w:t xml:space="preserve"> Points</w:t>
                                  </w:r>
                                </w:p>
                                <w:p w:rsidR="00034A01" w:rsidRDefault="00034A01" w:rsidP="00034A01">
                                  <w:pPr>
                                    <w:pStyle w:val="ListParagraph"/>
                                    <w:numPr>
                                      <w:ilvl w:val="0"/>
                                      <w:numId w:val="2"/>
                                    </w:numPr>
                                    <w:spacing w:after="0" w:line="240" w:lineRule="auto"/>
                                    <w:ind w:left="360"/>
                                  </w:pPr>
                                  <w:r>
                                    <w:t xml:space="preserve">There are rich hunting grounds for white-tailed deer, small game, and waterfowl within the WLEB.  </w:t>
                                  </w:r>
                                </w:p>
                                <w:p w:rsidR="00034A01" w:rsidRDefault="00034A01" w:rsidP="00034A01">
                                  <w:pPr>
                                    <w:spacing w:after="0" w:line="240" w:lineRule="auto"/>
                                  </w:pPr>
                                </w:p>
                                <w:p w:rsidR="00034A01" w:rsidRDefault="00034A01" w:rsidP="00034A01">
                                  <w:pPr>
                                    <w:pStyle w:val="ListParagraph"/>
                                    <w:numPr>
                                      <w:ilvl w:val="0"/>
                                      <w:numId w:val="2"/>
                                    </w:numPr>
                                    <w:spacing w:after="0" w:line="240" w:lineRule="auto"/>
                                    <w:ind w:left="360"/>
                                  </w:pPr>
                                  <w:r>
                                    <w:t>Hunting is used as the primary wildlife management technique throughout the region.</w:t>
                                  </w:r>
                                </w:p>
                                <w:p w:rsidR="00034A01" w:rsidRDefault="00034A01" w:rsidP="00034A01">
                                  <w:pPr>
                                    <w:pStyle w:val="ListParagraph"/>
                                    <w:spacing w:after="0" w:line="240" w:lineRule="auto"/>
                                    <w:ind w:left="360"/>
                                  </w:pPr>
                                </w:p>
                                <w:p w:rsidR="00034A01" w:rsidRDefault="00034A01" w:rsidP="00034A01">
                                  <w:pPr>
                                    <w:pStyle w:val="ListParagraph"/>
                                    <w:numPr>
                                      <w:ilvl w:val="0"/>
                                      <w:numId w:val="2"/>
                                    </w:numPr>
                                    <w:spacing w:after="0" w:line="240" w:lineRule="auto"/>
                                    <w:ind w:left="360"/>
                                  </w:pPr>
                                  <w:r>
                                    <w:t>This data layer shows publically- accessible hunting locations across the WLEB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8.1pt;margin-top:7.4pt;width:155.25pt;height:28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" fillcolor="white [3201]" strokeweight=".5pt">
                      <v:textbox>
                        <w:txbxContent>
                          <w:p w:rsidR="00034A01" w:rsidRPr="001855A9" w:rsidRDefault="00034A01" w:rsidP="00034A01">
                            <w:pPr>
                              <w:jc w:val="center"/>
                              <w:rPr>
                                <w:b/>
                                <w:sz w:val="28"/>
                                <w:szCs w:val="28"/>
                              </w:rPr>
                            </w:pPr>
                            <w:r>
                              <w:rPr>
                                <w:b/>
                                <w:sz w:val="28"/>
                                <w:szCs w:val="28"/>
                              </w:rPr>
                              <w:t>Take Home</w:t>
                            </w:r>
                            <w:r w:rsidRPr="001855A9">
                              <w:rPr>
                                <w:b/>
                                <w:sz w:val="28"/>
                                <w:szCs w:val="28"/>
                              </w:rPr>
                              <w:t xml:space="preserve"> Points</w:t>
                            </w:r>
                          </w:p>
                          <w:p w:rsidR="00034A01" w:rsidRDefault="00034A01" w:rsidP="00034A01">
                            <w:pPr>
                              <w:pStyle w:val="ListParagraph"/>
                              <w:numPr>
                                <w:ilvl w:val="0"/>
                                <w:numId w:val="2"/>
                              </w:numPr>
                              <w:spacing w:after="0" w:line="240" w:lineRule="auto"/>
                              <w:ind w:left="360"/>
                            </w:pPr>
                            <w:r>
                              <w:t xml:space="preserve">There are rich hunting grounds for white-tailed deer, small game, and waterfowl within the WLEB.  </w:t>
                            </w:r>
                          </w:p>
                          <w:p w:rsidR="00034A01" w:rsidRDefault="00034A01" w:rsidP="00034A01">
                            <w:pPr>
                              <w:spacing w:after="0" w:line="240" w:lineRule="auto"/>
                            </w:pPr>
                          </w:p>
                          <w:p w:rsidR="00034A01" w:rsidRDefault="00034A01" w:rsidP="00034A01">
                            <w:pPr>
                              <w:pStyle w:val="ListParagraph"/>
                              <w:numPr>
                                <w:ilvl w:val="0"/>
                                <w:numId w:val="2"/>
                              </w:numPr>
                              <w:spacing w:after="0" w:line="240" w:lineRule="auto"/>
                              <w:ind w:left="360"/>
                            </w:pPr>
                            <w:r>
                              <w:t>Hunting is used as the primary wildlife management technique throughout the region.</w:t>
                            </w:r>
                          </w:p>
                          <w:p w:rsidR="00034A01" w:rsidRDefault="00034A01" w:rsidP="00034A01">
                            <w:pPr>
                              <w:pStyle w:val="ListParagraph"/>
                              <w:spacing w:after="0" w:line="240" w:lineRule="auto"/>
                              <w:ind w:left="360"/>
                            </w:pPr>
                          </w:p>
                          <w:p w:rsidR="00034A01" w:rsidRDefault="00034A01" w:rsidP="00034A01">
                            <w:pPr>
                              <w:pStyle w:val="ListParagraph"/>
                              <w:numPr>
                                <w:ilvl w:val="0"/>
                                <w:numId w:val="2"/>
                              </w:numPr>
                              <w:spacing w:after="0" w:line="240" w:lineRule="auto"/>
                              <w:ind w:left="360"/>
                            </w:pPr>
                            <w:r>
                              <w:t>This data layer shows publically- accessible hunting locations across the WLEB</w:t>
                            </w:r>
                          </w:p>
                        </w:txbxContent>
                      </v:textbox>
                    </v:shape>
                  </w:pict>
                </mc:Fallback>
              </mc:AlternateContent>
            </w:r>
            <w:r>
              <w:rPr>
                <w:noProof/>
              </w:rPr>
              <w:drawing>
                <wp:inline distT="0" distB="0" distL="0" distR="0" wp14:anchorId="00177BFC" wp14:editId="1FFC153E">
                  <wp:extent cx="4924015" cy="3804921"/>
                  <wp:effectExtent l="0" t="0" r="0" b="5080"/>
                  <wp:docPr id="18748" name="Picture 18748"/>
                  <wp:cNvGraphicFramePr/>
                  <a:graphic xmlns:a="http://schemas.openxmlformats.org/drawingml/2006/main">
                    <a:graphicData uri="http://schemas.openxmlformats.org/drawingml/2006/picture">
                      <pic:pic xmlns:pic="http://schemas.openxmlformats.org/drawingml/2006/picture">
                        <pic:nvPicPr>
                          <pic:cNvPr id="18748" name="Picture 18748"/>
                          <pic:cNvPicPr/>
                        </pic:nvPicPr>
                        <pic:blipFill>
                          <a:blip r:embed="rId7"/>
                          <a:stretch>
                            <a:fillRect/>
                          </a:stretch>
                        </pic:blipFill>
                        <pic:spPr>
                          <a:xfrm>
                            <a:off x="0" y="0"/>
                            <a:ext cx="4924015" cy="3804921"/>
                          </a:xfrm>
                          <a:prstGeom prst="rect">
                            <a:avLst/>
                          </a:prstGeom>
                        </pic:spPr>
                      </pic:pic>
                    </a:graphicData>
                  </a:graphic>
                </wp:inline>
              </w:drawing>
            </w:r>
          </w:p>
        </w:tc>
        <w:tc>
          <w:tcPr>
            <w:tcW w:w="3282" w:type="dxa"/>
            <w:tcBorders>
              <w:top w:val="nil"/>
              <w:left w:val="nil"/>
              <w:bottom w:val="nil"/>
              <w:right w:val="nil"/>
            </w:tcBorders>
          </w:tcPr>
          <w:p w:rsidR="00034A01" w:rsidRDefault="00034A01" w:rsidP="00B32E7C">
            <w:pPr>
              <w:spacing w:line="259" w:lineRule="auto"/>
              <w:ind w:left="-8283" w:right="11565"/>
            </w:pPr>
          </w:p>
          <w:p w:rsidR="00034A01" w:rsidRDefault="00034A01" w:rsidP="00B32E7C">
            <w:pPr>
              <w:spacing w:after="160" w:line="259" w:lineRule="auto"/>
            </w:pPr>
          </w:p>
        </w:tc>
      </w:tr>
    </w:tbl>
    <w:p w:rsidR="00034A01" w:rsidRDefault="00034A01" w:rsidP="00034A01">
      <w:pPr>
        <w:spacing w:after="15" w:line="259" w:lineRule="auto"/>
      </w:pPr>
      <w:r>
        <w:rPr>
          <w:b/>
          <w:i/>
          <w:sz w:val="18"/>
        </w:rPr>
        <w:t>Hunting</w:t>
      </w:r>
      <w:r>
        <w:rPr>
          <w:b/>
          <w:sz w:val="18"/>
        </w:rPr>
        <w:t xml:space="preserve"> </w:t>
      </w:r>
      <w:r>
        <w:rPr>
          <w:b/>
          <w:i/>
          <w:sz w:val="18"/>
        </w:rPr>
        <w:t>Areas</w:t>
      </w:r>
      <w:r>
        <w:rPr>
          <w:b/>
          <w:sz w:val="18"/>
        </w:rPr>
        <w:t xml:space="preserve">. </w:t>
      </w:r>
      <w:r>
        <w:rPr>
          <w:i/>
          <w:sz w:val="18"/>
        </w:rPr>
        <w:t xml:space="preserve">Public lands open to hunting are shown in green. The WLEB study area is outlined in black.  </w:t>
      </w:r>
    </w:p>
    <w:p w:rsidR="00034A01" w:rsidRPr="00D72B6A" w:rsidRDefault="00034A01" w:rsidP="00034A01">
      <w:pPr>
        <w:spacing w:after="75" w:line="259" w:lineRule="auto"/>
        <w:ind w:left="1"/>
      </w:pPr>
      <w:r>
        <w:rPr>
          <w:i/>
          <w:sz w:val="18"/>
        </w:rPr>
        <w:t xml:space="preserve"> </w:t>
      </w:r>
    </w:p>
    <w:p w:rsidR="00034A01" w:rsidRPr="00034A01" w:rsidRDefault="00034A01" w:rsidP="00034A01">
      <w:pPr>
        <w:spacing w:after="0"/>
        <w:rPr>
          <w:rStyle w:val="Strong"/>
          <w:rFonts w:ascii="Arial" w:hAnsi="Arial" w:cs="Arial"/>
          <w:color w:val="548DD4" w:themeColor="text2" w:themeTint="99"/>
        </w:rPr>
      </w:pPr>
      <w:r w:rsidRPr="00034A01">
        <w:rPr>
          <w:rStyle w:val="Strong"/>
          <w:rFonts w:ascii="Arial" w:hAnsi="Arial" w:cs="Arial"/>
        </w:rPr>
        <w:t xml:space="preserve">Hunting in relation to social and ecological values </w:t>
      </w:r>
    </w:p>
    <w:p w:rsidR="00034A01" w:rsidRDefault="00034A01" w:rsidP="00034A01">
      <w:pPr>
        <w:ind w:left="-5"/>
      </w:pPr>
      <w:r>
        <w:t xml:space="preserve">In Michigan, Ohio, and Ontario combined, there were an estimated 1.97 million hunters who took part in one of the 2011 hunting seasons¹.  In the same year, an estimated $4.65 billion were spent on hunting related activities across the region².  The WLEB is home to rich hunting grounds for white-tailed deer, small game and waterfowl³. This was not always the case however, as wildlife populations were drastically altered in the early 1900’s by habitat conversion and overhunting. In response, Ohio restricted all deer hunting until 1943, when rebounding deer populations allowed for the state’s first modern day gun-season in three counties⁴. In 1956, the state opened all 88 counties to hunting, with a total of 3,911 deer harvested, which pales in comparison to the state’s harvest of 218,910 in 2012-13⁵. Hunting is an important wildlife management technique, allowing state officials to regulate the number and type of prey hunted to prevent species from dominating, which can decrease biodiversity. The WLEB also has excellent waterfowl hunting opportunities due to its location on the intersection of the Mississippi and Atlantic Flyways. Turkey and small game hunting are also very popular with sportsmen across the region. Michigan, Ohio and Ontario have all designated state-owned property for hunters to utilize during open hunting seasons. The hunting data layer was included in this analysis to identify areas important to hunters within the WLEB.  </w:t>
      </w:r>
    </w:p>
    <w:p w:rsidR="00034A01" w:rsidRDefault="00034A01" w:rsidP="00034A01">
      <w:pPr>
        <w:ind w:left="-5"/>
      </w:pPr>
      <w:r w:rsidRPr="00B45A95">
        <w:rPr>
          <w:b/>
          <w:sz w:val="24"/>
          <w:szCs w:val="24"/>
        </w:rPr>
        <w:t>Related Ecological layers:</w:t>
      </w:r>
      <w:r>
        <w:rPr>
          <w:b/>
        </w:rPr>
        <w:t xml:space="preserve"> </w:t>
      </w:r>
      <w:r>
        <w:t>Migratory Bird Stopover Habitat</w:t>
      </w:r>
    </w:p>
    <w:p w:rsidR="00034A01" w:rsidRDefault="00034A01" w:rsidP="00034A01">
      <w:pPr>
        <w:ind w:left="-5"/>
      </w:pPr>
    </w:p>
    <w:p w:rsidR="001F65EA" w:rsidRDefault="001F65EA" w:rsidP="00034A01">
      <w:pPr>
        <w:ind w:left="-5"/>
      </w:pPr>
    </w:p>
    <w:p w:rsidR="001F65EA" w:rsidRDefault="001F65EA" w:rsidP="00034A01">
      <w:pPr>
        <w:ind w:left="-5"/>
      </w:pPr>
      <w:bookmarkStart w:id="1" w:name="_GoBack"/>
      <w:bookmarkEnd w:id="1"/>
    </w:p>
    <w:p w:rsidR="00034A01" w:rsidRPr="00034A01" w:rsidRDefault="00034A01" w:rsidP="00034A01">
      <w:pPr>
        <w:spacing w:after="0"/>
        <w:rPr>
          <w:rStyle w:val="Strong"/>
          <w:rFonts w:ascii="Arial" w:hAnsi="Arial" w:cs="Arial"/>
        </w:rPr>
      </w:pPr>
      <w:r w:rsidRPr="00034A01">
        <w:rPr>
          <w:rStyle w:val="Strong"/>
          <w:rFonts w:ascii="Arial" w:hAnsi="Arial" w:cs="Arial"/>
        </w:rPr>
        <w:t xml:space="preserve">Hunting Areas data layer </w:t>
      </w:r>
    </w:p>
    <w:p w:rsidR="00034A01" w:rsidRDefault="00034A01" w:rsidP="00034A01">
      <w:pPr>
        <w:ind w:left="-5"/>
      </w:pPr>
      <w:r>
        <w:t xml:space="preserve">The WLECCV team compiled this data layer from a number of state- and provincial-level sources. Only those public lands which are explicitly listed as being open to hunting are included in this layer. In total, 29,184 acres of public hunting lands in 142 parcels were identified and included in the </w:t>
      </w:r>
      <w:proofErr w:type="spellStart"/>
      <w:r>
        <w:t>Marxan</w:t>
      </w:r>
      <w:proofErr w:type="spellEnd"/>
      <w:r>
        <w:t xml:space="preserve"> analysis.  </w:t>
      </w:r>
    </w:p>
    <w:p w:rsidR="00034A01" w:rsidRPr="00034A01" w:rsidRDefault="00034A01" w:rsidP="00034A01">
      <w:pPr>
        <w:spacing w:after="0"/>
        <w:rPr>
          <w:rStyle w:val="Strong"/>
          <w:rFonts w:ascii="Arial" w:hAnsi="Arial" w:cs="Arial"/>
        </w:rPr>
      </w:pPr>
      <w:r w:rsidRPr="00034A01">
        <w:rPr>
          <w:rStyle w:val="Strong"/>
          <w:rFonts w:ascii="Arial" w:hAnsi="Arial" w:cs="Arial"/>
        </w:rPr>
        <w:t xml:space="preserve">Data sources and potential limitations </w:t>
      </w:r>
    </w:p>
    <w:p w:rsidR="00034A01" w:rsidRDefault="00034A01" w:rsidP="00034A01">
      <w:pPr>
        <w:ind w:left="-5"/>
      </w:pPr>
      <w:r>
        <w:t xml:space="preserve">Public hunting areas in Michigan were derived from Michigan DNR's </w:t>
      </w:r>
      <w:proofErr w:type="spellStart"/>
      <w:r>
        <w:t>Mi</w:t>
      </w:r>
      <w:proofErr w:type="spellEnd"/>
      <w:r>
        <w:t xml:space="preserve">-Hunt interactive </w:t>
      </w:r>
      <w:hyperlink r:id="rId8">
        <w:r>
          <w:rPr>
            <w:color w:val="0000FF"/>
            <w:u w:val="single" w:color="0000FF"/>
          </w:rPr>
          <w:t>hunting map application</w:t>
        </w:r>
      </w:hyperlink>
      <w:hyperlink r:id="rId9">
        <w:r>
          <w:t xml:space="preserve"> </w:t>
        </w:r>
      </w:hyperlink>
      <w:r>
        <w:t xml:space="preserve">and attributed to state and federal land polygons in the </w:t>
      </w:r>
      <w:hyperlink r:id="rId10">
        <w:r>
          <w:rPr>
            <w:color w:val="0000FF"/>
            <w:u w:val="single" w:color="0000FF"/>
          </w:rPr>
          <w:t>CARL lands</w:t>
        </w:r>
      </w:hyperlink>
      <w:hyperlink r:id="rId11">
        <w:r>
          <w:t xml:space="preserve"> </w:t>
        </w:r>
      </w:hyperlink>
      <w:r>
        <w:t xml:space="preserve">layer (June 2007; accessed February 2008). Hunting areas in Ohio were identified using information provided by the Ohio DNR's </w:t>
      </w:r>
      <w:hyperlink r:id="rId12">
        <w:r>
          <w:t>“</w:t>
        </w:r>
      </w:hyperlink>
      <w:hyperlink r:id="rId13">
        <w:r>
          <w:rPr>
            <w:color w:val="0000FF"/>
            <w:u w:val="single" w:color="0000FF"/>
          </w:rPr>
          <w:t>Ohio Wildlife Areas</w:t>
        </w:r>
      </w:hyperlink>
      <w:hyperlink r:id="rId14">
        <w:r>
          <w:t>”</w:t>
        </w:r>
      </w:hyperlink>
      <w:hyperlink r:id="rId15">
        <w:r>
          <w:t xml:space="preserve"> </w:t>
        </w:r>
      </w:hyperlink>
      <w:r>
        <w:t xml:space="preserve">website and then attributed to state and federal land polygons contained in the same CARL lands layer. Several properties were digitized using information on the Sandusky County Park District’s website. Canadian hunting areas were select by identifying areas within the Canadian parks and recreation dataset where hunting is allowed; this dataset was obtained through </w:t>
      </w:r>
      <w:hyperlink r:id="rId16">
        <w:r>
          <w:rPr>
            <w:color w:val="0000FF"/>
            <w:u w:val="single" w:color="0000FF"/>
          </w:rPr>
          <w:t>Nature Conservancy of Canada</w:t>
        </w:r>
      </w:hyperlink>
      <w:hyperlink r:id="rId17">
        <w:r>
          <w:t xml:space="preserve"> </w:t>
        </w:r>
      </w:hyperlink>
      <w:r>
        <w:t xml:space="preserve">(personal communication; see Parks &amp; Recreation factsheet for dates and details) and the </w:t>
      </w:r>
      <w:hyperlink r:id="rId18">
        <w:r>
          <w:rPr>
            <w:color w:val="0000FF"/>
            <w:u w:val="single" w:color="0000FF"/>
          </w:rPr>
          <w:t>Essex Region Conservation Authority</w:t>
        </w:r>
      </w:hyperlink>
      <w:hyperlink r:id="rId19">
        <w:r>
          <w:t>,</w:t>
        </w:r>
      </w:hyperlink>
      <w:r>
        <w:t xml:space="preserve"> which provided data specifically for conservation lands (received March 2014). Ontario’s public hunting areas were identified from information provided by the </w:t>
      </w:r>
      <w:hyperlink r:id="rId20">
        <w:r>
          <w:rPr>
            <w:color w:val="0000FF"/>
            <w:u w:val="single" w:color="0000FF"/>
          </w:rPr>
          <w:t xml:space="preserve">Essex Region Conservation Authority </w:t>
        </w:r>
      </w:hyperlink>
      <w:hyperlink r:id="rId21">
        <w:r>
          <w:t>(ERCA; personal communication)</w:t>
        </w:r>
      </w:hyperlink>
      <w:hyperlink r:id="rId22">
        <w:r>
          <w:rPr>
            <w:vertAlign w:val="superscript"/>
          </w:rPr>
          <w:t>6</w:t>
        </w:r>
      </w:hyperlink>
      <w:r>
        <w:t xml:space="preserve">. Some minor verification was required to ensure that the data layer reflected the proper parcels.  Additional data for Ontario was provided by the Nature Conservancy of Canada (received November 2014).   </w:t>
      </w:r>
    </w:p>
    <w:p w:rsidR="00034A01" w:rsidRPr="00034A01" w:rsidRDefault="00034A01" w:rsidP="00034A01">
      <w:pPr>
        <w:spacing w:after="0"/>
        <w:rPr>
          <w:rStyle w:val="Strong"/>
          <w:rFonts w:ascii="Arial" w:hAnsi="Arial" w:cs="Arial"/>
        </w:rPr>
      </w:pPr>
      <w:r w:rsidRPr="00034A01">
        <w:rPr>
          <w:rStyle w:val="Strong"/>
          <w:rFonts w:ascii="Arial" w:hAnsi="Arial" w:cs="Arial"/>
        </w:rPr>
        <w:t xml:space="preserve">References and links </w:t>
      </w:r>
    </w:p>
    <w:p w:rsidR="00034A01" w:rsidRDefault="00034A01" w:rsidP="00034A01">
      <w:pPr>
        <w:numPr>
          <w:ilvl w:val="0"/>
          <w:numId w:val="1"/>
        </w:numPr>
        <w:spacing w:after="70" w:line="271" w:lineRule="auto"/>
        <w:ind w:hanging="360"/>
      </w:pPr>
      <w:hyperlink r:id="rId23">
        <w:r>
          <w:rPr>
            <w:color w:val="0000FF"/>
            <w:sz w:val="20"/>
            <w:u w:val="single" w:color="0000FF"/>
          </w:rPr>
          <w:t>http://www.michigan.gov/dnr/0,4570,7-153-10366-121641--,00.html</w:t>
        </w:r>
      </w:hyperlink>
      <w:hyperlink r:id="rId24">
        <w:r>
          <w:rPr>
            <w:sz w:val="20"/>
          </w:rPr>
          <w:t xml:space="preserve"> (</w:t>
        </w:r>
      </w:hyperlink>
      <w:r>
        <w:rPr>
          <w:sz w:val="20"/>
        </w:rPr>
        <w:t xml:space="preserve">MI data); </w:t>
      </w:r>
      <w:hyperlink r:id="rId25">
        <w:r>
          <w:rPr>
            <w:color w:val="0000FF"/>
            <w:sz w:val="20"/>
            <w:u w:val="single" w:color="0000FF"/>
          </w:rPr>
          <w:t>http://www2.ohiodnr.gov/news/post/late-season-deer</w:t>
        </w:r>
      </w:hyperlink>
      <w:hyperlink r:id="rId26">
        <w:r>
          <w:rPr>
            <w:color w:val="0000FF"/>
            <w:sz w:val="20"/>
            <w:u w:val="single" w:color="0000FF"/>
          </w:rPr>
          <w:t>hunting-opportunities-available-in-ohio</w:t>
        </w:r>
      </w:hyperlink>
      <w:hyperlink r:id="rId27">
        <w:r>
          <w:rPr>
            <w:sz w:val="20"/>
          </w:rPr>
          <w:t xml:space="preserve"> (</w:t>
        </w:r>
      </w:hyperlink>
      <w:r>
        <w:rPr>
          <w:sz w:val="20"/>
        </w:rPr>
        <w:t xml:space="preserve">OH data); </w:t>
      </w:r>
      <w:hyperlink r:id="rId28">
        <w:r>
          <w:rPr>
            <w:color w:val="0000FF"/>
            <w:sz w:val="20"/>
            <w:u w:val="single" w:color="0000FF"/>
          </w:rPr>
          <w:t>http://www.mnr.gov.on.ca/stdprodconsume/groups/lr/@mnr/@fw/documents/report/stdprod_109164.pdf</w:t>
        </w:r>
      </w:hyperlink>
      <w:hyperlink r:id="rId29">
        <w:r>
          <w:rPr>
            <w:color w:val="0000FF"/>
            <w:sz w:val="20"/>
          </w:rPr>
          <w:t xml:space="preserve"> </w:t>
        </w:r>
      </w:hyperlink>
      <w:hyperlink r:id="rId30">
        <w:r>
          <w:rPr>
            <w:sz w:val="20"/>
          </w:rPr>
          <w:t>(</w:t>
        </w:r>
      </w:hyperlink>
      <w:r>
        <w:rPr>
          <w:sz w:val="20"/>
        </w:rPr>
        <w:t xml:space="preserve">ON data) </w:t>
      </w:r>
    </w:p>
    <w:p w:rsidR="00034A01" w:rsidRDefault="002B5B1F" w:rsidP="00034A01">
      <w:pPr>
        <w:numPr>
          <w:ilvl w:val="0"/>
          <w:numId w:val="1"/>
        </w:numPr>
        <w:spacing w:after="70" w:line="271" w:lineRule="auto"/>
        <w:ind w:hanging="360"/>
      </w:pPr>
      <w:hyperlink r:id="rId31">
        <w:r w:rsidR="00034A01">
          <w:rPr>
            <w:color w:val="0000FF"/>
            <w:sz w:val="20"/>
            <w:u w:val="single" w:color="0000FF"/>
          </w:rPr>
          <w:t>http://www.nssf.org/PDF/research/HuntingInAmerica_EconomicForceForConservation.pdf</w:t>
        </w:r>
      </w:hyperlink>
      <w:hyperlink r:id="rId32">
        <w:r w:rsidR="00034A01">
          <w:rPr>
            <w:sz w:val="20"/>
          </w:rPr>
          <w:t xml:space="preserve"> </w:t>
        </w:r>
      </w:hyperlink>
      <w:r w:rsidR="00034A01">
        <w:rPr>
          <w:sz w:val="20"/>
        </w:rPr>
        <w:t xml:space="preserve">(MI and OH data), </w:t>
      </w:r>
      <w:hyperlink r:id="rId33">
        <w:r w:rsidR="00034A01">
          <w:rPr>
            <w:color w:val="0000FF"/>
            <w:sz w:val="20"/>
            <w:u w:val="single" w:color="0000FF"/>
          </w:rPr>
          <w:t>http://www.ofah.org/hunting/we-are-hunters-economy</w:t>
        </w:r>
      </w:hyperlink>
      <w:hyperlink r:id="rId34">
        <w:r w:rsidR="00034A01">
          <w:rPr>
            <w:sz w:val="20"/>
          </w:rPr>
          <w:t xml:space="preserve"> </w:t>
        </w:r>
      </w:hyperlink>
      <w:r w:rsidR="00034A01">
        <w:rPr>
          <w:sz w:val="20"/>
        </w:rPr>
        <w:t xml:space="preserve">(ON data) </w:t>
      </w:r>
    </w:p>
    <w:p w:rsidR="00034A01" w:rsidRDefault="002B5B1F" w:rsidP="00034A01">
      <w:pPr>
        <w:numPr>
          <w:ilvl w:val="0"/>
          <w:numId w:val="1"/>
        </w:numPr>
        <w:spacing w:after="70" w:line="271" w:lineRule="auto"/>
        <w:ind w:hanging="360"/>
      </w:pPr>
      <w:hyperlink r:id="rId35">
        <w:r w:rsidR="00034A01">
          <w:rPr>
            <w:color w:val="0000FF"/>
            <w:sz w:val="20"/>
            <w:u w:val="single" w:color="0000FF"/>
          </w:rPr>
          <w:t>http://www.qdma.com/uploads/pdf/WR2012.pdf</w:t>
        </w:r>
      </w:hyperlink>
      <w:hyperlink r:id="rId36">
        <w:r w:rsidR="00034A01">
          <w:rPr>
            <w:sz w:val="20"/>
          </w:rPr>
          <w:t xml:space="preserve"> </w:t>
        </w:r>
      </w:hyperlink>
    </w:p>
    <w:p w:rsidR="00034A01" w:rsidRDefault="002B5B1F" w:rsidP="00034A01">
      <w:pPr>
        <w:numPr>
          <w:ilvl w:val="0"/>
          <w:numId w:val="1"/>
        </w:numPr>
        <w:spacing w:after="70" w:line="271" w:lineRule="auto"/>
        <w:ind w:hanging="360"/>
      </w:pPr>
      <w:hyperlink r:id="rId37">
        <w:r w:rsidR="00034A01">
          <w:rPr>
            <w:color w:val="0000FF"/>
            <w:sz w:val="20"/>
            <w:u w:val="single" w:color="0000FF"/>
          </w:rPr>
          <w:t>http://www2.ohiodnr.gov/news/post/ohio-hunters-harvest-more-than-75-000-deer-during-weeklong-gun-season</w:t>
        </w:r>
      </w:hyperlink>
      <w:hyperlink r:id="rId38">
        <w:r w:rsidR="00034A01">
          <w:rPr>
            <w:sz w:val="20"/>
          </w:rPr>
          <w:t xml:space="preserve">  </w:t>
        </w:r>
      </w:hyperlink>
    </w:p>
    <w:p w:rsidR="00034A01" w:rsidRDefault="002B5B1F" w:rsidP="00034A01">
      <w:pPr>
        <w:numPr>
          <w:ilvl w:val="0"/>
          <w:numId w:val="1"/>
        </w:numPr>
        <w:spacing w:after="70" w:line="271" w:lineRule="auto"/>
        <w:ind w:hanging="360"/>
      </w:pPr>
      <w:hyperlink r:id="rId39">
        <w:r w:rsidR="00034A01">
          <w:rPr>
            <w:color w:val="0000FF"/>
            <w:sz w:val="20"/>
            <w:u w:val="single" w:color="0000FF"/>
          </w:rPr>
          <w:t>http://www.dnr.state.oh.us/Portals/9/pdf/pub304.pdf</w:t>
        </w:r>
      </w:hyperlink>
      <w:hyperlink r:id="rId40">
        <w:r w:rsidR="00034A01">
          <w:rPr>
            <w:sz w:val="20"/>
          </w:rPr>
          <w:t xml:space="preserve"> </w:t>
        </w:r>
      </w:hyperlink>
      <w:r w:rsidR="00034A01">
        <w:rPr>
          <w:sz w:val="20"/>
        </w:rPr>
        <w:t xml:space="preserve"> </w:t>
      </w:r>
    </w:p>
    <w:p w:rsidR="00034A01" w:rsidRDefault="00034A01" w:rsidP="00034A01">
      <w:pPr>
        <w:numPr>
          <w:ilvl w:val="0"/>
          <w:numId w:val="1"/>
        </w:numPr>
        <w:spacing w:after="0" w:line="288" w:lineRule="auto"/>
        <w:ind w:hanging="360"/>
      </w:pPr>
      <w:r>
        <w:rPr>
          <w:sz w:val="20"/>
        </w:rPr>
        <w:t xml:space="preserve">Information from ERCA is ERCA Owned/Managed Land copyright ERCA 2014.  The location and characterization of these sites as shown are approximate and are subject to change.  Copyright ERCA 2012.   </w:t>
      </w:r>
    </w:p>
    <w:p w:rsidR="00034A01" w:rsidRDefault="00034A01" w:rsidP="00034A01"/>
    <w:p w:rsidR="00034A01" w:rsidRDefault="00034A01" w:rsidP="00034A01">
      <w:pPr>
        <w:spacing w:after="0"/>
        <w:rPr>
          <w:b/>
        </w:rPr>
      </w:pPr>
      <w:r w:rsidRPr="006055E1">
        <w:rPr>
          <w:b/>
          <w:sz w:val="24"/>
          <w:szCs w:val="24"/>
        </w:rPr>
        <w:t>Contact</w:t>
      </w:r>
    </w:p>
    <w:p w:rsidR="00034A01" w:rsidRDefault="00034A01" w:rsidP="00034A01">
      <w:pPr>
        <w:spacing w:after="0" w:line="240" w:lineRule="auto"/>
      </w:pPr>
      <w:r>
        <w:t>Gust Annis</w:t>
      </w:r>
    </w:p>
    <w:p w:rsidR="00034A01" w:rsidRDefault="00034A01" w:rsidP="00034A01">
      <w:pPr>
        <w:spacing w:after="0" w:line="240" w:lineRule="auto"/>
      </w:pPr>
      <w:r>
        <w:t>The Nature Conservancy</w:t>
      </w:r>
    </w:p>
    <w:p w:rsidR="00034A01" w:rsidRDefault="002B5B1F" w:rsidP="00034A01">
      <w:pPr>
        <w:spacing w:line="240" w:lineRule="auto"/>
      </w:pPr>
      <w:hyperlink r:id="rId41" w:history="1">
        <w:r w:rsidR="00034A01" w:rsidRPr="005E33CE">
          <w:rPr>
            <w:rStyle w:val="Hyperlink"/>
          </w:rPr>
          <w:t>gannis@tnc.org</w:t>
        </w:r>
      </w:hyperlink>
    </w:p>
    <w:p w:rsidR="00034A01" w:rsidRDefault="00034A01" w:rsidP="00034A01"/>
    <w:p w:rsidR="00602D81" w:rsidRDefault="002B5B1F"/>
    <w:sectPr w:rsidR="00602D81" w:rsidSect="00034A01">
      <w:head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1F" w:rsidRDefault="002B5B1F" w:rsidP="00034A01">
      <w:pPr>
        <w:spacing w:after="0" w:line="240" w:lineRule="auto"/>
      </w:pPr>
      <w:r>
        <w:separator/>
      </w:r>
    </w:p>
  </w:endnote>
  <w:endnote w:type="continuationSeparator" w:id="0">
    <w:p w:rsidR="002B5B1F" w:rsidRDefault="002B5B1F" w:rsidP="0003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1F" w:rsidRDefault="002B5B1F" w:rsidP="00034A01">
      <w:pPr>
        <w:spacing w:after="0" w:line="240" w:lineRule="auto"/>
      </w:pPr>
      <w:r>
        <w:separator/>
      </w:r>
    </w:p>
  </w:footnote>
  <w:footnote w:type="continuationSeparator" w:id="0">
    <w:p w:rsidR="002B5B1F" w:rsidRDefault="002B5B1F" w:rsidP="0003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1" w:rsidRDefault="001F65EA">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729A70B0" wp14:editId="29E20307">
              <wp:simplePos x="0" y="0"/>
              <wp:positionH relativeFrom="column">
                <wp:posOffset>2867025</wp:posOffset>
              </wp:positionH>
              <wp:positionV relativeFrom="paragraph">
                <wp:posOffset>-161925</wp:posOffset>
              </wp:positionV>
              <wp:extent cx="423862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685800"/>
                      </a:xfrm>
                      <a:prstGeom prst="rect">
                        <a:avLst/>
                      </a:prstGeom>
                      <a:noFill/>
                      <a:ln w="6350">
                        <a:noFill/>
                      </a:ln>
                    </wps:spPr>
                    <wps:txbx>
                      <w:txbxContent>
                        <w:p w:rsidR="001F65EA" w:rsidRDefault="001F65EA" w:rsidP="001F65EA">
                          <w:pPr>
                            <w:spacing w:after="0" w:line="240" w:lineRule="auto"/>
                            <w:jc w:val="right"/>
                            <w:rPr>
                              <w:b/>
                              <w:sz w:val="28"/>
                              <w:szCs w:val="28"/>
                            </w:rPr>
                          </w:pPr>
                          <w:r>
                            <w:rPr>
                              <w:b/>
                              <w:sz w:val="28"/>
                              <w:szCs w:val="28"/>
                            </w:rPr>
                            <w:t>Western Lake Erie Coastal Conservation Vision Project</w:t>
                          </w:r>
                        </w:p>
                        <w:p w:rsidR="001F65EA" w:rsidRDefault="001F65EA" w:rsidP="001F65EA">
                          <w:pPr>
                            <w:spacing w:after="0"/>
                            <w:jc w:val="right"/>
                            <w:rPr>
                              <w:i/>
                            </w:rPr>
                          </w:pPr>
                          <w:r>
                            <w:rPr>
                              <w:i/>
                            </w:rPr>
                            <w:t xml:space="preserve">Targeting coastal conservation actions to achieve resilience </w:t>
                          </w:r>
                        </w:p>
                        <w:p w:rsidR="001F65EA" w:rsidRDefault="001F65EA" w:rsidP="001F65EA">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9A70B0" id="_x0000_t202" coordsize="21600,21600" o:spt="202" path="m,l,21600r21600,l21600,xe">
              <v:stroke joinstyle="miter"/>
              <v:path gradientshapeok="t" o:connecttype="rect"/>
            </v:shapetype>
            <v:shape id="Text Box 2" o:spid="_x0000_s1027" type="#_x0000_t202" style="position:absolute;margin-left:225.75pt;margin-top:-12.75pt;width:333.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" filled="f" stroked="f" strokeweight=".5pt">
              <v:textbox>
                <w:txbxContent>
                  <w:p w:rsidR="001F65EA" w:rsidRDefault="001F65EA" w:rsidP="001F65EA">
                    <w:pPr>
                      <w:spacing w:after="0" w:line="240" w:lineRule="auto"/>
                      <w:jc w:val="right"/>
                      <w:rPr>
                        <w:b/>
                        <w:sz w:val="28"/>
                        <w:szCs w:val="28"/>
                      </w:rPr>
                    </w:pPr>
                    <w:r>
                      <w:rPr>
                        <w:b/>
                        <w:sz w:val="28"/>
                        <w:szCs w:val="28"/>
                      </w:rPr>
                      <w:t>Western Lake Erie Coastal Conservation Vision Project</w:t>
                    </w:r>
                  </w:p>
                  <w:p w:rsidR="001F65EA" w:rsidRDefault="001F65EA" w:rsidP="001F65EA">
                    <w:pPr>
                      <w:spacing w:after="0"/>
                      <w:jc w:val="right"/>
                      <w:rPr>
                        <w:i/>
                      </w:rPr>
                    </w:pPr>
                    <w:r>
                      <w:rPr>
                        <w:i/>
                      </w:rPr>
                      <w:t xml:space="preserve">Targeting coastal conservation actions to achieve resilience </w:t>
                    </w:r>
                  </w:p>
                  <w:p w:rsidR="001F65EA" w:rsidRDefault="001F65EA" w:rsidP="001F65EA">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05D92B17" wp14:editId="7756B684">
          <wp:extent cx="1762125" cy="50914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787782" cy="516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272"/>
    <w:multiLevelType w:val="hybridMultilevel"/>
    <w:tmpl w:val="D91212C2"/>
    <w:lvl w:ilvl="0" w:tplc="060659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6B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9C15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A10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5A98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AC8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AA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2854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C20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01"/>
    <w:rsid w:val="00034A01"/>
    <w:rsid w:val="001F65EA"/>
    <w:rsid w:val="002B5B1F"/>
    <w:rsid w:val="007462A0"/>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4D8D3"/>
  <w15:docId w15:val="{694B37ED-55D0-4D74-A4C5-8A5C23A2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4A01"/>
  </w:style>
  <w:style w:type="paragraph" w:styleId="Heading2">
    <w:name w:val="heading 2"/>
    <w:basedOn w:val="Normal"/>
    <w:next w:val="Normal"/>
    <w:link w:val="Heading2Char"/>
    <w:uiPriority w:val="9"/>
    <w:unhideWhenUsed/>
    <w:qFormat/>
    <w:rsid w:val="00034A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A01"/>
  </w:style>
  <w:style w:type="paragraph" w:styleId="Footer">
    <w:name w:val="footer"/>
    <w:basedOn w:val="Normal"/>
    <w:link w:val="FooterChar"/>
    <w:uiPriority w:val="99"/>
    <w:unhideWhenUsed/>
    <w:rsid w:val="0003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A01"/>
  </w:style>
  <w:style w:type="paragraph" w:styleId="NoSpacing">
    <w:name w:val="No Spacing"/>
    <w:uiPriority w:val="1"/>
    <w:qFormat/>
    <w:rsid w:val="00034A01"/>
    <w:pPr>
      <w:spacing w:after="0" w:line="240" w:lineRule="auto"/>
    </w:pPr>
  </w:style>
  <w:style w:type="character" w:customStyle="1" w:styleId="Heading2Char">
    <w:name w:val="Heading 2 Char"/>
    <w:basedOn w:val="DefaultParagraphFont"/>
    <w:link w:val="Heading2"/>
    <w:uiPriority w:val="9"/>
    <w:rsid w:val="00034A01"/>
    <w:rPr>
      <w:rFonts w:asciiTheme="majorHAnsi" w:eastAsiaTheme="majorEastAsia" w:hAnsiTheme="majorHAnsi" w:cstheme="majorBidi"/>
      <w:b/>
      <w:bCs/>
      <w:color w:val="4F81BD" w:themeColor="accent1"/>
      <w:sz w:val="26"/>
      <w:szCs w:val="26"/>
    </w:rPr>
  </w:style>
  <w:style w:type="table" w:customStyle="1" w:styleId="TableGrid">
    <w:name w:val="TableGrid"/>
    <w:rsid w:val="00034A01"/>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034A01"/>
    <w:rPr>
      <w:b/>
      <w:bCs/>
    </w:rPr>
  </w:style>
  <w:style w:type="paragraph" w:styleId="BalloonText">
    <w:name w:val="Balloon Text"/>
    <w:basedOn w:val="Normal"/>
    <w:link w:val="BalloonTextChar"/>
    <w:uiPriority w:val="99"/>
    <w:semiHidden/>
    <w:unhideWhenUsed/>
    <w:rsid w:val="0003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A01"/>
    <w:rPr>
      <w:rFonts w:ascii="Tahoma" w:hAnsi="Tahoma" w:cs="Tahoma"/>
      <w:sz w:val="16"/>
      <w:szCs w:val="16"/>
    </w:rPr>
  </w:style>
  <w:style w:type="paragraph" w:styleId="ListParagraph">
    <w:name w:val="List Paragraph"/>
    <w:basedOn w:val="Normal"/>
    <w:uiPriority w:val="34"/>
    <w:qFormat/>
    <w:rsid w:val="00034A01"/>
    <w:pPr>
      <w:ind w:left="720"/>
      <w:contextualSpacing/>
    </w:pPr>
  </w:style>
  <w:style w:type="character" w:styleId="Hyperlink">
    <w:name w:val="Hyperlink"/>
    <w:basedOn w:val="DefaultParagraphFont"/>
    <w:uiPriority w:val="99"/>
    <w:unhideWhenUsed/>
    <w:rsid w:val="00034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ldlife.ohiodnr.gov/wildlifeareas" TargetMode="External"/><Relationship Id="rId18" Type="http://schemas.openxmlformats.org/officeDocument/2006/relationships/hyperlink" Target="http://erca.org/" TargetMode="External"/><Relationship Id="rId26" Type="http://schemas.openxmlformats.org/officeDocument/2006/relationships/hyperlink" Target="http://www2.ohiodnr.gov/news/post/late-season-deer-hunting-opportunities-available-in-ohio" TargetMode="External"/><Relationship Id="rId39" Type="http://schemas.openxmlformats.org/officeDocument/2006/relationships/hyperlink" Target="http://www.dnr.state.oh.us/Portals/9/pdf/pub304.pdf" TargetMode="External"/><Relationship Id="rId21" Type="http://schemas.openxmlformats.org/officeDocument/2006/relationships/hyperlink" Target="http://erca.org/" TargetMode="External"/><Relationship Id="rId34" Type="http://schemas.openxmlformats.org/officeDocument/2006/relationships/hyperlink" Target="http://www.ofah.org/hunting/we-are-hunters-economy" TargetMode="External"/><Relationship Id="rId42" Type="http://schemas.openxmlformats.org/officeDocument/2006/relationships/header" Target="header1.xml"/><Relationship Id="rId47"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atureconservancy.ca/en/" TargetMode="External"/><Relationship Id="rId29" Type="http://schemas.openxmlformats.org/officeDocument/2006/relationships/hyperlink" Target="http://www.mnr.gov.on.ca/stdprodconsume/groups/lr/@mnr/@fw/documents/report/stdprod_10916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cks.org/conservation/glaro/carl-gis-layer" TargetMode="External"/><Relationship Id="rId24" Type="http://schemas.openxmlformats.org/officeDocument/2006/relationships/hyperlink" Target="http://www.michigan.gov/dnr/0,4570,7-153-10366-121641--,00.html" TargetMode="External"/><Relationship Id="rId32" Type="http://schemas.openxmlformats.org/officeDocument/2006/relationships/hyperlink" Target="http://www.nssf.org/PDF/research/HuntingInAmerica_EconomicForceForConservation.pdf" TargetMode="External"/><Relationship Id="rId37" Type="http://schemas.openxmlformats.org/officeDocument/2006/relationships/hyperlink" Target="http://www2.ohiodnr.gov/news/post/ohio-hunters-harvest-more-than-75-000-deer-during-weeklong-gun-season" TargetMode="External"/><Relationship Id="rId40" Type="http://schemas.openxmlformats.org/officeDocument/2006/relationships/hyperlink" Target="http://www.dnr.state.oh.us/Portals/9/pdf/pub304.pdf" TargetMode="Externa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ildlife.ohiodnr.gov/wildlifeareas" TargetMode="External"/><Relationship Id="rId23" Type="http://schemas.openxmlformats.org/officeDocument/2006/relationships/hyperlink" Target="http://www.michigan.gov/dnr/0,4570,7-153-10366-121641--,00.html" TargetMode="External"/><Relationship Id="rId28" Type="http://schemas.openxmlformats.org/officeDocument/2006/relationships/hyperlink" Target="http://www.mnr.gov.on.ca/stdprodconsume/groups/lr/@mnr/@fw/documents/report/stdprod_109164.pdf" TargetMode="External"/><Relationship Id="rId36" Type="http://schemas.openxmlformats.org/officeDocument/2006/relationships/hyperlink" Target="http://www.qdma.com/uploads/pdf/WR2012.pdf" TargetMode="External"/><Relationship Id="rId10" Type="http://schemas.openxmlformats.org/officeDocument/2006/relationships/hyperlink" Target="http://www.ducks.org/conservation/glaro/carl-gis-layer" TargetMode="External"/><Relationship Id="rId19" Type="http://schemas.openxmlformats.org/officeDocument/2006/relationships/hyperlink" Target="http://erca.org/" TargetMode="External"/><Relationship Id="rId31" Type="http://schemas.openxmlformats.org/officeDocument/2006/relationships/hyperlink" Target="http://www.nssf.org/PDF/research/HuntingInAmerica_EconomicForceForConservation.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gi.state.mi.us/mi-hunt/%23acceptTerms" TargetMode="External"/><Relationship Id="rId14" Type="http://schemas.openxmlformats.org/officeDocument/2006/relationships/hyperlink" Target="http://wildlife.ohiodnr.gov/wildlifeareas" TargetMode="External"/><Relationship Id="rId22" Type="http://schemas.openxmlformats.org/officeDocument/2006/relationships/hyperlink" Target="http://erca.org/" TargetMode="External"/><Relationship Id="rId27" Type="http://schemas.openxmlformats.org/officeDocument/2006/relationships/hyperlink" Target="http://www2.ohiodnr.gov/news/post/late-season-deer-hunting-opportunities-available-in-ohio" TargetMode="External"/><Relationship Id="rId30" Type="http://schemas.openxmlformats.org/officeDocument/2006/relationships/hyperlink" Target="http://www.mnr.gov.on.ca/stdprodconsume/groups/lr/@mnr/@fw/documents/report/stdprod_109164.pdf" TargetMode="External"/><Relationship Id="rId35" Type="http://schemas.openxmlformats.org/officeDocument/2006/relationships/hyperlink" Target="http://www.qdma.com/uploads/pdf/WR2012.pdf" TargetMode="External"/><Relationship Id="rId43" Type="http://schemas.openxmlformats.org/officeDocument/2006/relationships/fontTable" Target="fontTable.xml"/><Relationship Id="rId8" Type="http://schemas.openxmlformats.org/officeDocument/2006/relationships/hyperlink" Target="http://www.michigan.gov/dnr/0,4570,7-153-10363_10913---,00.html" TargetMode="External"/><Relationship Id="rId3" Type="http://schemas.openxmlformats.org/officeDocument/2006/relationships/settings" Target="settings.xml"/><Relationship Id="rId12" Type="http://schemas.openxmlformats.org/officeDocument/2006/relationships/hyperlink" Target="http://wildlife.ohiodnr.gov/wildlifeareas" TargetMode="External"/><Relationship Id="rId17" Type="http://schemas.openxmlformats.org/officeDocument/2006/relationships/hyperlink" Target="http://www.natureconservancy.ca/en/" TargetMode="External"/><Relationship Id="rId25" Type="http://schemas.openxmlformats.org/officeDocument/2006/relationships/hyperlink" Target="http://www2.ohiodnr.gov/news/post/late-season-deer-hunting-opportunities-available-in-ohio" TargetMode="External"/><Relationship Id="rId33" Type="http://schemas.openxmlformats.org/officeDocument/2006/relationships/hyperlink" Target="http://www.ofah.org/hunting/we-are-hunters-economy" TargetMode="External"/><Relationship Id="rId38" Type="http://schemas.openxmlformats.org/officeDocument/2006/relationships/hyperlink" Target="http://www2.ohiodnr.gov/news/post/ohio-hunters-harvest-more-than-75-000-deer-during-weeklong-gun-season" TargetMode="External"/><Relationship Id="rId46" Type="http://schemas.openxmlformats.org/officeDocument/2006/relationships/customXml" Target="../customXml/item2.xml"/><Relationship Id="rId20" Type="http://schemas.openxmlformats.org/officeDocument/2006/relationships/hyperlink" Target="http://erca.org/" TargetMode="External"/><Relationship Id="rId41" Type="http://schemas.openxmlformats.org/officeDocument/2006/relationships/hyperlink" Target="mailto:gannis@tn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578013-3790-4D41-BCDB-98EF1371B556}"/>
</file>

<file path=customXml/itemProps2.xml><?xml version="1.0" encoding="utf-8"?>
<ds:datastoreItem xmlns:ds="http://schemas.openxmlformats.org/officeDocument/2006/customXml" ds:itemID="{EF75D273-FD25-4DEA-899B-8C98F3B9257C}"/>
</file>

<file path=customXml/itemProps3.xml><?xml version="1.0" encoding="utf-8"?>
<ds:datastoreItem xmlns:ds="http://schemas.openxmlformats.org/officeDocument/2006/customXml" ds:itemID="{EA284B67-6E0C-449C-B78A-C05A2A07B521}"/>
</file>

<file path=docProps/app.xml><?xml version="1.0" encoding="utf-8"?>
<Properties xmlns="http://schemas.openxmlformats.org/officeDocument/2006/extended-properties" xmlns:vt="http://schemas.openxmlformats.org/officeDocument/2006/docPropsVTypes">
  <Template>Normal</Template>
  <TotalTime>6</TotalTime>
  <Pages>2</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Hunting_Areas_fact_sheet_June2016</dc:title>
  <dc:creator>Corrie McKiernan</dc:creator>
  <cp:lastModifiedBy>Leann Heywood</cp:lastModifiedBy>
  <cp:revision>2</cp:revision>
  <dcterms:created xsi:type="dcterms:W3CDTF">2016-06-27T18:47:00Z</dcterms:created>
  <dcterms:modified xsi:type="dcterms:W3CDTF">2016-08-22T20:05:00Z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